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2CBD3" w14:textId="64F91B29" w:rsidR="006F79AE" w:rsidRDefault="00342035" w:rsidP="00080D74">
      <w:pPr>
        <w:pStyle w:val="Heading1"/>
      </w:pPr>
      <w:bookmarkStart w:id="0" w:name="_GoBack"/>
      <w:bookmarkEnd w:id="0"/>
      <w:r>
        <w:t>Frequently Asked Questions</w:t>
      </w:r>
    </w:p>
    <w:p w14:paraId="2469C58B" w14:textId="4393F0F3" w:rsidR="00342035" w:rsidRPr="00342035" w:rsidRDefault="00342035" w:rsidP="00342035">
      <w:pPr>
        <w:pStyle w:val="ListNumber"/>
      </w:pPr>
      <w:r w:rsidRPr="00342035">
        <w:t xml:space="preserve">Why do we need to comply with the requirements of AASB 124 when we already have other transparency and accountability reporting processes in place </w:t>
      </w:r>
      <w:r w:rsidR="00AA439E">
        <w:t>such as</w:t>
      </w:r>
      <w:r w:rsidRPr="00342035">
        <w:t xml:space="preserve"> Register/Declaration of Private Interests and Conflict of Interest Registers? Can’t we just use that information to meet the disclosure requirements of AASB 124?</w:t>
      </w:r>
    </w:p>
    <w:p w14:paraId="49BA7872" w14:textId="244F4A19" w:rsidR="00342035" w:rsidRDefault="00342035" w:rsidP="00342035">
      <w:pPr>
        <w:pStyle w:val="ListParagraph"/>
        <w:spacing w:line="276" w:lineRule="auto"/>
        <w:rPr>
          <w:rFonts w:eastAsiaTheme="minorHAnsi" w:cs="Arial"/>
          <w:color w:val="000000"/>
        </w:rPr>
      </w:pPr>
      <w:r w:rsidRPr="00BC4B12">
        <w:rPr>
          <w:rFonts w:eastAsiaTheme="minorHAnsi" w:cs="Arial"/>
          <w:color w:val="000000"/>
        </w:rPr>
        <w:t xml:space="preserve">The objective of AASB </w:t>
      </w:r>
      <w:r>
        <w:rPr>
          <w:rFonts w:eastAsiaTheme="minorHAnsi" w:cs="Arial"/>
          <w:color w:val="000000"/>
        </w:rPr>
        <w:t xml:space="preserve">124 is to ensure </w:t>
      </w:r>
      <w:r w:rsidRPr="00BC4B12">
        <w:rPr>
          <w:rFonts w:eastAsiaTheme="minorHAnsi" w:cs="Arial"/>
          <w:color w:val="000000"/>
        </w:rPr>
        <w:t>entities</w:t>
      </w:r>
      <w:r w:rsidR="00406349">
        <w:rPr>
          <w:rFonts w:eastAsiaTheme="minorHAnsi" w:cs="Arial"/>
          <w:color w:val="000000"/>
        </w:rPr>
        <w:t>’</w:t>
      </w:r>
      <w:r w:rsidRPr="00BC4B12">
        <w:rPr>
          <w:rFonts w:eastAsiaTheme="minorHAnsi" w:cs="Arial"/>
          <w:color w:val="000000"/>
        </w:rPr>
        <w:t xml:space="preserve"> financial statements contain disclosures to enable users to understand the potential effect of the relationships on the financial statements.</w:t>
      </w:r>
    </w:p>
    <w:p w14:paraId="0C8CF379" w14:textId="75CE5213" w:rsidR="00342035" w:rsidRDefault="00342035" w:rsidP="00342035">
      <w:pPr>
        <w:pStyle w:val="ListParagraph"/>
      </w:pPr>
      <w:r>
        <w:rPr>
          <w:rFonts w:eastAsiaTheme="minorHAnsi"/>
        </w:rPr>
        <w:t>A review of current transparency and accountability reporting processes</w:t>
      </w:r>
      <w:r w:rsidR="00406349">
        <w:rPr>
          <w:rFonts w:eastAsiaTheme="minorHAnsi"/>
        </w:rPr>
        <w:t>,</w:t>
      </w:r>
      <w:r>
        <w:rPr>
          <w:rFonts w:eastAsiaTheme="minorHAnsi"/>
        </w:rPr>
        <w:t xml:space="preserve"> such as </w:t>
      </w:r>
      <w:r w:rsidRPr="00342035">
        <w:t>the</w:t>
      </w:r>
      <w:r>
        <w:rPr>
          <w:rFonts w:eastAsiaTheme="minorHAnsi"/>
        </w:rPr>
        <w:t xml:space="preserve"> Register of Interests (for </w:t>
      </w:r>
      <w:r w:rsidR="00E2617D">
        <w:rPr>
          <w:rFonts w:eastAsiaTheme="minorHAnsi"/>
        </w:rPr>
        <w:t>m</w:t>
      </w:r>
      <w:r>
        <w:rPr>
          <w:rFonts w:eastAsiaTheme="minorHAnsi"/>
        </w:rPr>
        <w:t>inisters) and Conflict of Interest disclosures (for other agency executives)</w:t>
      </w:r>
      <w:r w:rsidR="00406349">
        <w:rPr>
          <w:rFonts w:eastAsiaTheme="minorHAnsi"/>
        </w:rPr>
        <w:t>,</w:t>
      </w:r>
      <w:r>
        <w:rPr>
          <w:rFonts w:eastAsiaTheme="minorHAnsi"/>
        </w:rPr>
        <w:t xml:space="preserve"> indicate the information currently collected </w:t>
      </w:r>
      <w:r w:rsidR="00AA439E">
        <w:rPr>
          <w:rFonts w:eastAsiaTheme="minorHAnsi"/>
        </w:rPr>
        <w:t xml:space="preserve">is </w:t>
      </w:r>
      <w:r>
        <w:rPr>
          <w:rFonts w:eastAsiaTheme="minorHAnsi"/>
        </w:rPr>
        <w:t xml:space="preserve">very high level and does not meet the reporting requirements of AASB 124. </w:t>
      </w:r>
      <w:r w:rsidRPr="00BC4B12">
        <w:t>The standard requires more specific and detailed information about each related party transaction.</w:t>
      </w:r>
    </w:p>
    <w:p w14:paraId="16652CFF" w14:textId="072FA834" w:rsidR="006F79AE" w:rsidRDefault="00342035" w:rsidP="00342035">
      <w:pPr>
        <w:pStyle w:val="ListNumber"/>
      </w:pPr>
      <w:r w:rsidRPr="00342035">
        <w:t xml:space="preserve">Who would be considered key management personnel of the Territory or </w:t>
      </w:r>
      <w:r w:rsidR="00AA439E">
        <w:t>a</w:t>
      </w:r>
      <w:r w:rsidRPr="00342035">
        <w:t>gencies?</w:t>
      </w:r>
    </w:p>
    <w:p w14:paraId="21299751" w14:textId="61C49752" w:rsidR="00342035" w:rsidRPr="00BC4B12" w:rsidRDefault="00342035" w:rsidP="00342035">
      <w:pPr>
        <w:pStyle w:val="ListParagraph"/>
      </w:pPr>
      <w:r w:rsidRPr="00BC4B12">
        <w:t xml:space="preserve">Determining who key management personnel (KMP) are depends on each agency’s circumstances and requires the application of judgement. The </w:t>
      </w:r>
      <w:r>
        <w:t>relevant Related Party Guideline</w:t>
      </w:r>
      <w:r w:rsidRPr="00BC4B12">
        <w:t xml:space="preserve"> documents include guidance on applying the KMP definitions in AASB 124. </w:t>
      </w:r>
      <w:r>
        <w:t xml:space="preserve">A person is likely to be designated as </w:t>
      </w:r>
      <w:r w:rsidRPr="00BC4B12">
        <w:t>a KMP</w:t>
      </w:r>
      <w:r>
        <w:t xml:space="preserve"> where </w:t>
      </w:r>
      <w:r w:rsidR="00406349">
        <w:t xml:space="preserve">he or she has </w:t>
      </w:r>
      <w:r>
        <w:t xml:space="preserve">the </w:t>
      </w:r>
      <w:r w:rsidRPr="00BC4B12">
        <w:t>ability to plan, direct and control an entity</w:t>
      </w:r>
      <w:r>
        <w:t xml:space="preserve"> either individually or jointly with other KMP. K</w:t>
      </w:r>
      <w:r w:rsidRPr="00BC4B12">
        <w:t>MP are generally employees of the reporting agency however, the definition does not restrict itself to employees only. Therefore, it would include seconded sta</w:t>
      </w:r>
      <w:r>
        <w:t>ff and persons engaged under</w:t>
      </w:r>
      <w:r w:rsidRPr="00BC4B12">
        <w:t xml:space="preserve"> management or outsourcing contracts.</w:t>
      </w:r>
    </w:p>
    <w:p w14:paraId="0F5FDFF0" w14:textId="77777777" w:rsidR="00342035" w:rsidRPr="00342035" w:rsidRDefault="00342035" w:rsidP="00342035">
      <w:pPr>
        <w:pStyle w:val="ListParagraph"/>
        <w:rPr>
          <w:b/>
          <w:i/>
        </w:rPr>
      </w:pPr>
      <w:r w:rsidRPr="00342035">
        <w:rPr>
          <w:b/>
          <w:i/>
        </w:rPr>
        <w:t>For the Territory</w:t>
      </w:r>
    </w:p>
    <w:p w14:paraId="6C1EC4F7" w14:textId="7EE92C59" w:rsidR="00342035" w:rsidRPr="00BC4B12" w:rsidRDefault="00342035" w:rsidP="00342035">
      <w:pPr>
        <w:pStyle w:val="ListParagraph"/>
      </w:pPr>
      <w:r w:rsidRPr="00BC4B12">
        <w:t xml:space="preserve">Cabinet is the principal </w:t>
      </w:r>
      <w:r w:rsidR="00406349" w:rsidRPr="00BC4B12">
        <w:t>decision</w:t>
      </w:r>
      <w:r w:rsidR="00406349">
        <w:t>-</w:t>
      </w:r>
      <w:r w:rsidRPr="00BC4B12">
        <w:t xml:space="preserve">making body of the government. All </w:t>
      </w:r>
      <w:r w:rsidR="00AA439E">
        <w:t>C</w:t>
      </w:r>
      <w:r w:rsidRPr="00BC4B12">
        <w:t>abinet members will be considered KMP of the</w:t>
      </w:r>
      <w:r>
        <w:t xml:space="preserve"> Territory</w:t>
      </w:r>
      <w:r w:rsidRPr="00BC4B12">
        <w:t>.</w:t>
      </w:r>
    </w:p>
    <w:p w14:paraId="3B820D6C" w14:textId="77777777" w:rsidR="00342035" w:rsidRPr="00342035" w:rsidRDefault="00342035" w:rsidP="00342035">
      <w:pPr>
        <w:pStyle w:val="ListParagraph"/>
        <w:rPr>
          <w:b/>
          <w:i/>
        </w:rPr>
      </w:pPr>
      <w:r w:rsidRPr="00342035">
        <w:rPr>
          <w:b/>
          <w:i/>
        </w:rPr>
        <w:t>For agencies</w:t>
      </w:r>
    </w:p>
    <w:p w14:paraId="0749BEEE" w14:textId="52575DFF" w:rsidR="00342035" w:rsidRPr="00BC4B12" w:rsidRDefault="00342035" w:rsidP="00342035">
      <w:pPr>
        <w:pStyle w:val="ListParagraph"/>
      </w:pPr>
      <w:r w:rsidRPr="00BC4B12">
        <w:t>Portfolio ministers are responsible for the oversight of their relevant portfolio departments and entities</w:t>
      </w:r>
      <w:r>
        <w:t xml:space="preserve"> so they </w:t>
      </w:r>
      <w:r w:rsidR="00406349">
        <w:t>are</w:t>
      </w:r>
      <w:r>
        <w:t xml:space="preserve"> considered KMP of their portfolio department</w:t>
      </w:r>
      <w:r w:rsidRPr="00BC4B12">
        <w:t xml:space="preserve">. </w:t>
      </w:r>
    </w:p>
    <w:p w14:paraId="16A59563" w14:textId="15E3CF74" w:rsidR="00342035" w:rsidRDefault="00342035" w:rsidP="00342035">
      <w:pPr>
        <w:pStyle w:val="ListParagraph"/>
      </w:pPr>
      <w:r>
        <w:rPr>
          <w:bCs/>
        </w:rPr>
        <w:t xml:space="preserve">As a guide for </w:t>
      </w:r>
      <w:r w:rsidRPr="005B0694">
        <w:rPr>
          <w:bCs/>
        </w:rPr>
        <w:t>agencies</w:t>
      </w:r>
      <w:r w:rsidRPr="005B0694">
        <w:t>, KMP</w:t>
      </w:r>
      <w:r w:rsidRPr="00BC4B12">
        <w:t xml:space="preserve"> would</w:t>
      </w:r>
      <w:r>
        <w:t xml:space="preserve"> include members of the senior executive management </w:t>
      </w:r>
      <w:r w:rsidRPr="00BC4B12">
        <w:t>and members of the governi</w:t>
      </w:r>
      <w:r>
        <w:t xml:space="preserve">ng board as they are considered </w:t>
      </w:r>
      <w:r w:rsidRPr="00BC4B12">
        <w:t>responsible for planning, directing and controlling of the overall activities of the entity, directly or indirectly.</w:t>
      </w:r>
      <w:r>
        <w:t xml:space="preserve"> </w:t>
      </w:r>
      <w:r w:rsidRPr="00BC4B12">
        <w:t xml:space="preserve">Executives or senior managers delegated the operational authority for specific functions of the entity will generally not be considered KMP for the purpose of </w:t>
      </w:r>
      <w:r>
        <w:t>AASB</w:t>
      </w:r>
      <w:r w:rsidRPr="00BC4B12">
        <w:t xml:space="preserve"> 124.</w:t>
      </w:r>
    </w:p>
    <w:p w14:paraId="3E1E0FB6" w14:textId="77777777" w:rsidR="00342035" w:rsidRPr="00342035" w:rsidRDefault="00342035" w:rsidP="00342035">
      <w:pPr>
        <w:pStyle w:val="ListParagraph"/>
        <w:rPr>
          <w:b/>
          <w:i/>
        </w:rPr>
      </w:pPr>
      <w:r w:rsidRPr="00342035">
        <w:rPr>
          <w:b/>
          <w:i/>
        </w:rPr>
        <w:t>Contractors</w:t>
      </w:r>
    </w:p>
    <w:p w14:paraId="3C280806" w14:textId="2CB2419E" w:rsidR="00406349" w:rsidRDefault="00342035" w:rsidP="00342035">
      <w:pPr>
        <w:pStyle w:val="ListParagraph"/>
      </w:pPr>
      <w:r w:rsidRPr="00BC4B12">
        <w:t>Personnel engaged by an entity as contractors and charged with significant management responsibilities are considered to meet the definition of KMP under AASB 124 as they are responsible for planning, directing or controlling directly or indirectly, the entity’s activities and should undertake the relevant KMP process with their respective entit</w:t>
      </w:r>
      <w:r w:rsidR="00406349">
        <w:t>y</w:t>
      </w:r>
      <w:r w:rsidRPr="00BC4B12">
        <w:t xml:space="preserve"> to provide related party information as required.</w:t>
      </w:r>
    </w:p>
    <w:p w14:paraId="5191A071" w14:textId="77777777" w:rsidR="00406349" w:rsidRDefault="00406349">
      <w:pPr>
        <w:rPr>
          <w:rFonts w:eastAsiaTheme="minorEastAsia"/>
          <w:iCs/>
        </w:rPr>
      </w:pPr>
      <w:r>
        <w:br w:type="page"/>
      </w:r>
    </w:p>
    <w:p w14:paraId="37985F62" w14:textId="766FF5BF" w:rsidR="00560E0F" w:rsidRDefault="00560E0F" w:rsidP="00E83A6B">
      <w:pPr>
        <w:pStyle w:val="ListNumber"/>
        <w:keepNext/>
      </w:pPr>
      <w:r>
        <w:lastRenderedPageBreak/>
        <w:t>AASB 124 paragraph 9 defines a key management personnel as</w:t>
      </w:r>
      <w:r w:rsidRPr="004C2E64">
        <w:t xml:space="preserve"> those persons having authority and responsibility for planning, directing and controlling the activities of the entity, directly or indirectly</w:t>
      </w:r>
      <w:r>
        <w:t>. Who will be considered as having direct or indirect influence?</w:t>
      </w:r>
    </w:p>
    <w:p w14:paraId="6B8FF7D5" w14:textId="13BF111F" w:rsidR="00560E0F" w:rsidRDefault="00560E0F" w:rsidP="00560E0F">
      <w:pPr>
        <w:rPr>
          <w:rFonts w:cs="Arial"/>
        </w:rPr>
      </w:pPr>
      <w:r w:rsidRPr="004C2E64">
        <w:rPr>
          <w:rFonts w:cs="Arial"/>
        </w:rPr>
        <w:t>An example</w:t>
      </w:r>
      <w:r>
        <w:rPr>
          <w:rFonts w:cs="Arial"/>
        </w:rPr>
        <w:t xml:space="preserve"> of direct influence would be a person who holds an executive position on the executive management group and</w:t>
      </w:r>
      <w:r w:rsidR="00406349">
        <w:rPr>
          <w:rFonts w:cs="Arial"/>
        </w:rPr>
        <w:t>,</w:t>
      </w:r>
      <w:r>
        <w:rPr>
          <w:rFonts w:cs="Arial"/>
        </w:rPr>
        <w:t xml:space="preserve"> consequently</w:t>
      </w:r>
      <w:r w:rsidR="00406349">
        <w:rPr>
          <w:rFonts w:cs="Arial"/>
        </w:rPr>
        <w:t>,</w:t>
      </w:r>
      <w:r>
        <w:rPr>
          <w:rFonts w:cs="Arial"/>
        </w:rPr>
        <w:t xml:space="preserve"> partakes directly in decisions that affect the department as a whole.</w:t>
      </w:r>
    </w:p>
    <w:p w14:paraId="0D23A04A" w14:textId="7E046C24" w:rsidR="00560E0F" w:rsidRDefault="00560E0F" w:rsidP="00560E0F">
      <w:pPr>
        <w:rPr>
          <w:rFonts w:cs="Arial"/>
        </w:rPr>
      </w:pPr>
      <w:r>
        <w:rPr>
          <w:rFonts w:cs="Arial"/>
        </w:rPr>
        <w:t xml:space="preserve">Alternatively, indirect control or involvement is when a position or committee </w:t>
      </w:r>
      <w:r w:rsidR="00FA5082">
        <w:rPr>
          <w:rFonts w:cs="Arial"/>
        </w:rPr>
        <w:t xml:space="preserve">is </w:t>
      </w:r>
      <w:r>
        <w:rPr>
          <w:rFonts w:cs="Arial"/>
        </w:rPr>
        <w:t xml:space="preserve">not included in the executive management group, however, the position or committee’s decisions a have significant influence on the outcomes of the agency. </w:t>
      </w:r>
    </w:p>
    <w:p w14:paraId="7E0800C2" w14:textId="79F3BBD0" w:rsidR="00B756F4" w:rsidRDefault="00B756F4" w:rsidP="00B756F4">
      <w:pPr>
        <w:pStyle w:val="ListNumber"/>
        <w:rPr>
          <w:lang w:eastAsia="en-AU"/>
        </w:rPr>
      </w:pPr>
      <w:r w:rsidRPr="00BC4B12">
        <w:rPr>
          <w:lang w:eastAsia="en-AU"/>
        </w:rPr>
        <w:t xml:space="preserve">Why is the Chief Minister not considered the only KMP of the Territory since the Chief Minister is the Territory </w:t>
      </w:r>
      <w:r w:rsidR="00AA439E">
        <w:rPr>
          <w:lang w:eastAsia="en-AU"/>
        </w:rPr>
        <w:t>G</w:t>
      </w:r>
      <w:r w:rsidRPr="00BC4B12">
        <w:rPr>
          <w:lang w:eastAsia="en-AU"/>
        </w:rPr>
        <w:t xml:space="preserve">overnment’s head and ultimately responsible for government policy and decisions? </w:t>
      </w:r>
    </w:p>
    <w:p w14:paraId="49CCCCF0" w14:textId="3B334EEC" w:rsidR="00B756F4" w:rsidRDefault="00B756F4" w:rsidP="00B756F4">
      <w:pPr>
        <w:pStyle w:val="ListParagraph"/>
      </w:pPr>
      <w:r w:rsidRPr="00BC4B12">
        <w:t>While the Chief Minister has the power to make decisions, ministers work together as the government (</w:t>
      </w:r>
      <w:r w:rsidR="00AA439E">
        <w:t>that is</w:t>
      </w:r>
      <w:r w:rsidR="00406349">
        <w:t>,</w:t>
      </w:r>
      <w:r w:rsidRPr="00BC4B12">
        <w:t xml:space="preserve"> similar to a corporate board). Decisions are cons</w:t>
      </w:r>
      <w:r>
        <w:t xml:space="preserve">idered and made by </w:t>
      </w:r>
      <w:r w:rsidRPr="00BC4B12">
        <w:t xml:space="preserve">Cabinet, so Cabinet is still considered the principal </w:t>
      </w:r>
      <w:r w:rsidR="00406349" w:rsidRPr="00BC4B12">
        <w:t>decision</w:t>
      </w:r>
      <w:r w:rsidR="00406349">
        <w:t>-</w:t>
      </w:r>
      <w:r w:rsidRPr="00BC4B12">
        <w:t>making body of the government.</w:t>
      </w:r>
    </w:p>
    <w:p w14:paraId="50DF000F" w14:textId="6F29A7A2" w:rsidR="00B756F4" w:rsidRDefault="00B756F4" w:rsidP="00B756F4">
      <w:pPr>
        <w:pStyle w:val="ListNumber"/>
        <w:rPr>
          <w:lang w:eastAsia="en-AU"/>
        </w:rPr>
      </w:pPr>
      <w:r w:rsidRPr="00BC4B12">
        <w:rPr>
          <w:lang w:eastAsia="en-AU"/>
        </w:rPr>
        <w:t>As t</w:t>
      </w:r>
      <w:r>
        <w:rPr>
          <w:lang w:eastAsia="en-AU"/>
        </w:rPr>
        <w:t>he Treasurer has</w:t>
      </w:r>
      <w:r w:rsidRPr="00BC4B12">
        <w:rPr>
          <w:lang w:eastAsia="en-AU"/>
        </w:rPr>
        <w:t xml:space="preserve"> certain powers under the </w:t>
      </w:r>
      <w:r w:rsidRPr="00DE61A5">
        <w:rPr>
          <w:i/>
          <w:lang w:eastAsia="en-AU"/>
        </w:rPr>
        <w:t>Financial Management Act</w:t>
      </w:r>
      <w:r w:rsidRPr="00BC4B12">
        <w:rPr>
          <w:lang w:eastAsia="en-AU"/>
        </w:rPr>
        <w:t xml:space="preserve"> (FMA), does this mean </w:t>
      </w:r>
      <w:r w:rsidR="00406349">
        <w:rPr>
          <w:lang w:eastAsia="en-AU"/>
        </w:rPr>
        <w:t>he or she has</w:t>
      </w:r>
      <w:r w:rsidRPr="00BC4B12">
        <w:rPr>
          <w:lang w:eastAsia="en-AU"/>
        </w:rPr>
        <w:t xml:space="preserve"> decision</w:t>
      </w:r>
      <w:r w:rsidR="00AA439E">
        <w:rPr>
          <w:lang w:eastAsia="en-AU"/>
        </w:rPr>
        <w:t>-</w:t>
      </w:r>
      <w:r w:rsidRPr="00BC4B12">
        <w:rPr>
          <w:lang w:eastAsia="en-AU"/>
        </w:rPr>
        <w:t>making power</w:t>
      </w:r>
      <w:r w:rsidR="00406349">
        <w:rPr>
          <w:lang w:eastAsia="en-AU"/>
        </w:rPr>
        <w:t>, therefore</w:t>
      </w:r>
      <w:r w:rsidRPr="00BC4B12">
        <w:rPr>
          <w:lang w:eastAsia="en-AU"/>
        </w:rPr>
        <w:t xml:space="preserve"> KMP of all depar</w:t>
      </w:r>
      <w:r>
        <w:rPr>
          <w:lang w:eastAsia="en-AU"/>
        </w:rPr>
        <w:t xml:space="preserve">tments or </w:t>
      </w:r>
      <w:r w:rsidRPr="00BC4B12">
        <w:rPr>
          <w:lang w:eastAsia="en-AU"/>
        </w:rPr>
        <w:t xml:space="preserve">agencies of the Territory? </w:t>
      </w:r>
    </w:p>
    <w:p w14:paraId="26FA7007" w14:textId="3C11CB85" w:rsidR="00672ECC" w:rsidRPr="00576A40" w:rsidRDefault="00672ECC" w:rsidP="00E83A6B">
      <w:pPr>
        <w:pStyle w:val="StyleBlackJustifiedLinespacingMultiple115li"/>
        <w:rPr>
          <w:rFonts w:eastAsiaTheme="minorHAnsi"/>
        </w:rPr>
      </w:pPr>
      <w:r w:rsidRPr="00576A40">
        <w:rPr>
          <w:rFonts w:eastAsiaTheme="minorHAnsi"/>
        </w:rPr>
        <w:t xml:space="preserve">The Treasurer has certain powers under the FMA, however this does not mean the Treasurer has decision-making power as a KMP of all agencies. The powers given to the Treasurer under the FMA are limited to governance and reporting matters and not for operational matters. </w:t>
      </w:r>
      <w:r w:rsidR="00EE0834">
        <w:rPr>
          <w:rFonts w:eastAsiaTheme="minorHAnsi"/>
        </w:rPr>
        <w:t>Therefore,</w:t>
      </w:r>
      <w:r w:rsidRPr="00576A40">
        <w:rPr>
          <w:rFonts w:eastAsiaTheme="minorHAnsi"/>
        </w:rPr>
        <w:t xml:space="preserve"> the Treasurer will be a KMP for his or her relevant portfolio agencies and for the Territory as a member of Cabinet but not for all other agencies.</w:t>
      </w:r>
    </w:p>
    <w:p w14:paraId="0967852A" w14:textId="11B980DD" w:rsidR="00B756F4" w:rsidRPr="00B756F4" w:rsidRDefault="00B756F4" w:rsidP="00B756F4">
      <w:pPr>
        <w:pStyle w:val="ListNumber"/>
        <w:rPr>
          <w:lang w:eastAsia="en-AU"/>
        </w:rPr>
      </w:pPr>
      <w:r w:rsidRPr="00BC4B12">
        <w:rPr>
          <w:lang w:eastAsia="en-AU"/>
        </w:rPr>
        <w:t>Are members of an entity’s advisory board considered KMP of an entity, particularly if the entity has both a governance board and an advisory board?</w:t>
      </w:r>
    </w:p>
    <w:p w14:paraId="636C5A72" w14:textId="29057477" w:rsidR="00B756F4" w:rsidRDefault="00B756F4" w:rsidP="00E83A6B">
      <w:pPr>
        <w:pStyle w:val="StyleBlackJustifiedLinespacingMultiple115li"/>
        <w:rPr>
          <w:rFonts w:eastAsiaTheme="minorHAnsi"/>
        </w:rPr>
      </w:pPr>
      <w:r>
        <w:rPr>
          <w:rFonts w:eastAsiaTheme="minorHAnsi"/>
        </w:rPr>
        <w:t>Agencies should base their assessment on the principle of whether a member of an advisory board is a KMP of the entity. T</w:t>
      </w:r>
      <w:r w:rsidRPr="00BC4B12">
        <w:rPr>
          <w:rFonts w:eastAsiaTheme="minorHAnsi"/>
        </w:rPr>
        <w:t>he entity will need to assess whether the roles and functions of the advisory board meet the definition of KMP in AASB 124</w:t>
      </w:r>
      <w:r w:rsidR="00AA439E">
        <w:rPr>
          <w:rFonts w:eastAsiaTheme="minorHAnsi"/>
        </w:rPr>
        <w:t>. That is</w:t>
      </w:r>
      <w:proofErr w:type="gramStart"/>
      <w:r w:rsidR="00AA439E">
        <w:rPr>
          <w:rFonts w:eastAsiaTheme="minorHAnsi"/>
        </w:rPr>
        <w:t xml:space="preserve">, </w:t>
      </w:r>
      <w:r w:rsidRPr="00BC4B12">
        <w:rPr>
          <w:rFonts w:eastAsiaTheme="minorHAnsi"/>
        </w:rPr>
        <w:t xml:space="preserve"> the</w:t>
      </w:r>
      <w:proofErr w:type="gramEnd"/>
      <w:r w:rsidRPr="00BC4B12">
        <w:rPr>
          <w:rFonts w:eastAsiaTheme="minorHAnsi"/>
        </w:rPr>
        <w:t xml:space="preserve"> entity needs to determine whether members of the advisory board have the authority and responsibility for planning, directing and controlling the activities of the entity, directly or indirectly (</w:t>
      </w:r>
      <w:r w:rsidR="00AA439E">
        <w:rPr>
          <w:rFonts w:eastAsiaTheme="minorHAnsi"/>
        </w:rPr>
        <w:t>for example</w:t>
      </w:r>
      <w:r w:rsidR="00EE0834">
        <w:rPr>
          <w:rFonts w:eastAsiaTheme="minorHAnsi"/>
        </w:rPr>
        <w:t>,</w:t>
      </w:r>
      <w:r w:rsidRPr="00BC4B12">
        <w:rPr>
          <w:rFonts w:eastAsiaTheme="minorHAnsi"/>
        </w:rPr>
        <w:t xml:space="preserve"> they are charged with decision-making responsibilities).</w:t>
      </w:r>
    </w:p>
    <w:p w14:paraId="1F5619DA" w14:textId="5151CE59" w:rsidR="00B756F4" w:rsidRPr="00B756F4" w:rsidRDefault="00B756F4" w:rsidP="00B756F4">
      <w:pPr>
        <w:pStyle w:val="ListNumber"/>
        <w:rPr>
          <w:rFonts w:cs="Arial"/>
          <w:lang w:eastAsia="en-AU"/>
        </w:rPr>
      </w:pPr>
      <w:r w:rsidRPr="005F4770">
        <w:rPr>
          <w:lang w:eastAsia="en-AU"/>
        </w:rPr>
        <w:t>Who will be coord</w:t>
      </w:r>
      <w:r>
        <w:rPr>
          <w:lang w:eastAsia="en-AU"/>
        </w:rPr>
        <w:t>inating information collections?</w:t>
      </w:r>
    </w:p>
    <w:p w14:paraId="452A7745" w14:textId="4A92A56C" w:rsidR="00B756F4" w:rsidRDefault="00B756F4" w:rsidP="00B756F4">
      <w:pPr>
        <w:pStyle w:val="ListParagraph"/>
        <w:rPr>
          <w:rFonts w:eastAsia="Times New Roman"/>
          <w:lang w:eastAsia="en-AU"/>
        </w:rPr>
      </w:pPr>
      <w:r w:rsidRPr="005F4770">
        <w:rPr>
          <w:rFonts w:eastAsia="Times New Roman"/>
          <w:lang w:eastAsia="en-AU"/>
        </w:rPr>
        <w:t xml:space="preserve">For </w:t>
      </w:r>
      <w:r w:rsidR="00E2617D">
        <w:rPr>
          <w:rFonts w:eastAsia="Times New Roman"/>
          <w:lang w:eastAsia="en-AU"/>
        </w:rPr>
        <w:t>m</w:t>
      </w:r>
      <w:r w:rsidRPr="005F4770">
        <w:rPr>
          <w:rFonts w:eastAsia="Times New Roman"/>
          <w:lang w:eastAsia="en-AU"/>
        </w:rPr>
        <w:t xml:space="preserve">inister’s, the collection of information has </w:t>
      </w:r>
      <w:r w:rsidRPr="009341C8">
        <w:rPr>
          <w:rFonts w:eastAsia="Times New Roman"/>
          <w:lang w:eastAsia="en-AU"/>
        </w:rPr>
        <w:t xml:space="preserve">been centralised due to the sensitive nature and to maintain the confidentiality of information. The Department of the Chief Minister </w:t>
      </w:r>
      <w:r w:rsidR="007C3506">
        <w:rPr>
          <w:rFonts w:eastAsia="Times New Roman"/>
          <w:lang w:eastAsia="en-AU"/>
        </w:rPr>
        <w:t xml:space="preserve">(DCM) </w:t>
      </w:r>
      <w:r>
        <w:rPr>
          <w:rFonts w:eastAsia="Times New Roman"/>
          <w:lang w:eastAsia="en-AU"/>
        </w:rPr>
        <w:t xml:space="preserve">in conjunction with the Department of Treasury and Finance </w:t>
      </w:r>
      <w:r w:rsidR="00CB608B">
        <w:rPr>
          <w:rFonts w:eastAsia="Times New Roman"/>
          <w:lang w:eastAsia="en-AU"/>
        </w:rPr>
        <w:t xml:space="preserve">(DTF) </w:t>
      </w:r>
      <w:r w:rsidRPr="005F4770">
        <w:rPr>
          <w:rFonts w:eastAsia="Times New Roman"/>
          <w:lang w:eastAsia="en-AU"/>
        </w:rPr>
        <w:t xml:space="preserve">will be responsible for coordinating information </w:t>
      </w:r>
      <w:r w:rsidR="00CB608B" w:rsidRPr="005F4770">
        <w:rPr>
          <w:rFonts w:eastAsia="Times New Roman"/>
          <w:lang w:eastAsia="en-AU"/>
        </w:rPr>
        <w:t>collect</w:t>
      </w:r>
      <w:r w:rsidR="00CB608B">
        <w:rPr>
          <w:rFonts w:eastAsia="Times New Roman"/>
          <w:lang w:eastAsia="en-AU"/>
        </w:rPr>
        <w:t xml:space="preserve">ed </w:t>
      </w:r>
      <w:r>
        <w:rPr>
          <w:rFonts w:eastAsia="Times New Roman"/>
          <w:lang w:eastAsia="en-AU"/>
        </w:rPr>
        <w:t>f</w:t>
      </w:r>
      <w:r w:rsidR="00FA5082">
        <w:rPr>
          <w:rFonts w:eastAsia="Times New Roman"/>
          <w:lang w:eastAsia="en-AU"/>
        </w:rPr>
        <w:t>or</w:t>
      </w:r>
      <w:r>
        <w:rPr>
          <w:rFonts w:eastAsia="Times New Roman"/>
          <w:lang w:eastAsia="en-AU"/>
        </w:rPr>
        <w:t xml:space="preserve"> </w:t>
      </w:r>
      <w:r w:rsidR="00E2617D">
        <w:rPr>
          <w:rFonts w:eastAsia="Times New Roman"/>
          <w:lang w:eastAsia="en-AU"/>
        </w:rPr>
        <w:t>m</w:t>
      </w:r>
      <w:r>
        <w:rPr>
          <w:rFonts w:eastAsia="Times New Roman"/>
          <w:lang w:eastAsia="en-AU"/>
        </w:rPr>
        <w:t>inisters.</w:t>
      </w:r>
    </w:p>
    <w:p w14:paraId="5F72E7B1" w14:textId="4E8DFB46" w:rsidR="00B756F4" w:rsidRPr="00B756F4" w:rsidRDefault="00B756F4" w:rsidP="00B756F4">
      <w:pPr>
        <w:pStyle w:val="ListParagraph"/>
        <w:rPr>
          <w:rFonts w:eastAsia="Times New Roman"/>
          <w:lang w:eastAsia="en-AU"/>
        </w:rPr>
      </w:pPr>
      <w:r w:rsidRPr="00C83FC3">
        <w:rPr>
          <w:rFonts w:eastAsia="Times New Roman"/>
          <w:lang w:eastAsia="en-AU"/>
        </w:rPr>
        <w:t xml:space="preserve">Each agency will coordinate the collection of information for all other KMP </w:t>
      </w:r>
      <w:r>
        <w:rPr>
          <w:rFonts w:eastAsia="Times New Roman"/>
          <w:lang w:eastAsia="en-AU"/>
        </w:rPr>
        <w:t xml:space="preserve">(except </w:t>
      </w:r>
      <w:r w:rsidR="00E2617D">
        <w:rPr>
          <w:rFonts w:eastAsia="Times New Roman"/>
          <w:lang w:eastAsia="en-AU"/>
        </w:rPr>
        <w:t>m</w:t>
      </w:r>
      <w:r>
        <w:rPr>
          <w:rFonts w:eastAsia="Times New Roman"/>
          <w:lang w:eastAsia="en-AU"/>
        </w:rPr>
        <w:t xml:space="preserve">inisters) from a centralised area within the agency. </w:t>
      </w:r>
    </w:p>
    <w:p w14:paraId="562F53D5" w14:textId="77777777" w:rsidR="00B756F4" w:rsidRDefault="00B756F4" w:rsidP="00E83A6B">
      <w:pPr>
        <w:pStyle w:val="ListNumber"/>
        <w:keepNext/>
        <w:rPr>
          <w:lang w:eastAsia="en-AU"/>
        </w:rPr>
      </w:pPr>
      <w:r>
        <w:rPr>
          <w:lang w:eastAsia="en-AU"/>
        </w:rPr>
        <w:lastRenderedPageBreak/>
        <w:t>How often will information on related party transactions be collected?</w:t>
      </w:r>
    </w:p>
    <w:p w14:paraId="27341B75" w14:textId="2D02E539" w:rsidR="00B756F4" w:rsidRPr="00B756F4" w:rsidRDefault="00B756F4" w:rsidP="00B756F4">
      <w:pPr>
        <w:pStyle w:val="ListParagraph"/>
      </w:pPr>
      <w:r w:rsidRPr="00B756F4">
        <w:t>Information will be collected annually, as at 30 June for all KMP or when there is a change in circumstance such as a change in employment status, resignation of a KMP</w:t>
      </w:r>
      <w:r w:rsidR="00CB608B">
        <w:t xml:space="preserve"> or</w:t>
      </w:r>
      <w:r w:rsidRPr="00B756F4">
        <w:t xml:space="preserve"> change in </w:t>
      </w:r>
      <w:r w:rsidR="00E2617D">
        <w:t>m</w:t>
      </w:r>
      <w:r w:rsidRPr="00B756F4">
        <w:t xml:space="preserve">inisterial portfolios. </w:t>
      </w:r>
    </w:p>
    <w:p w14:paraId="05E600E3" w14:textId="77777777" w:rsidR="00B756F4" w:rsidRPr="00BC4B12" w:rsidRDefault="00B756F4" w:rsidP="00B756F4">
      <w:pPr>
        <w:pStyle w:val="ListNumber"/>
        <w:rPr>
          <w:lang w:eastAsia="en-AU"/>
        </w:rPr>
      </w:pPr>
      <w:r w:rsidRPr="00BC4B12">
        <w:rPr>
          <w:lang w:eastAsia="en-AU"/>
        </w:rPr>
        <w:t>Will an acting KMP be caught under the AASB 124 disclosures?</w:t>
      </w:r>
    </w:p>
    <w:p w14:paraId="2C0CCC8F" w14:textId="6320964B" w:rsidR="00B756F4" w:rsidRDefault="00B756F4" w:rsidP="00B756F4">
      <w:pPr>
        <w:pStyle w:val="ListParagraph"/>
        <w:rPr>
          <w:rFonts w:eastAsiaTheme="minorHAnsi"/>
        </w:rPr>
      </w:pPr>
      <w:r w:rsidRPr="00BC4B12">
        <w:rPr>
          <w:rFonts w:eastAsiaTheme="minorHAnsi"/>
        </w:rPr>
        <w:t>This will depend on the circumstances, including the length of the ap</w:t>
      </w:r>
      <w:r>
        <w:rPr>
          <w:rFonts w:eastAsiaTheme="minorHAnsi"/>
        </w:rPr>
        <w:t xml:space="preserve">pointment, participation in </w:t>
      </w:r>
      <w:r w:rsidRPr="00BC4B12">
        <w:rPr>
          <w:rFonts w:eastAsiaTheme="minorHAnsi"/>
        </w:rPr>
        <w:t xml:space="preserve">key decision-making </w:t>
      </w:r>
      <w:r>
        <w:rPr>
          <w:rFonts w:eastAsiaTheme="minorHAnsi"/>
        </w:rPr>
        <w:t>processes and the types of decisions made</w:t>
      </w:r>
      <w:r w:rsidRPr="00BC4B12">
        <w:rPr>
          <w:rFonts w:eastAsiaTheme="minorHAnsi"/>
        </w:rPr>
        <w:t>.</w:t>
      </w:r>
      <w:r>
        <w:rPr>
          <w:rFonts w:eastAsiaTheme="minorHAnsi"/>
        </w:rPr>
        <w:t xml:space="preserve"> However, as a general rule, </w:t>
      </w:r>
      <w:r w:rsidR="00CB608B">
        <w:rPr>
          <w:rFonts w:eastAsiaTheme="minorHAnsi"/>
        </w:rPr>
        <w:t>DTF</w:t>
      </w:r>
      <w:r>
        <w:rPr>
          <w:rFonts w:eastAsiaTheme="minorHAnsi"/>
        </w:rPr>
        <w:t xml:space="preserve"> have assessed that persons acting temporarily in a KMP position for a period of </w:t>
      </w:r>
      <w:r w:rsidRPr="00EC29E2">
        <w:rPr>
          <w:rFonts w:eastAsiaTheme="minorHAnsi"/>
          <w:b/>
        </w:rPr>
        <w:t>three months</w:t>
      </w:r>
      <w:r>
        <w:rPr>
          <w:rFonts w:eastAsiaTheme="minorHAnsi"/>
        </w:rPr>
        <w:t xml:space="preserve"> or more will need to be included for related party disclosures.</w:t>
      </w:r>
    </w:p>
    <w:p w14:paraId="02104A3E" w14:textId="76E0EB9C" w:rsidR="00B756F4" w:rsidRDefault="00B756F4" w:rsidP="00B756F4">
      <w:pPr>
        <w:pStyle w:val="ListParagraph"/>
        <w:rPr>
          <w:rFonts w:eastAsiaTheme="minorHAnsi"/>
        </w:rPr>
      </w:pPr>
      <w:r>
        <w:rPr>
          <w:rFonts w:eastAsiaTheme="minorHAnsi"/>
        </w:rPr>
        <w:t>Nevertheless, if there is evidence suggesting that significant transactions have been entered into by the acting KMP that can significantly affect users</w:t>
      </w:r>
      <w:r w:rsidR="00EE0834">
        <w:rPr>
          <w:rFonts w:eastAsiaTheme="minorHAnsi"/>
        </w:rPr>
        <w:t>’</w:t>
      </w:r>
      <w:r>
        <w:rPr>
          <w:rFonts w:eastAsiaTheme="minorHAnsi"/>
        </w:rPr>
        <w:t xml:space="preserve"> understanding of the entity’s financial statements, inclusion of such acting KMP may be warranted</w:t>
      </w:r>
      <w:r w:rsidR="00E6791F">
        <w:rPr>
          <w:rFonts w:eastAsiaTheme="minorHAnsi"/>
        </w:rPr>
        <w:t>, even if they acted in a position for less than three months.</w:t>
      </w:r>
    </w:p>
    <w:p w14:paraId="1049FBC4" w14:textId="77777777" w:rsidR="00B756F4" w:rsidRPr="00BC4B12" w:rsidRDefault="00B756F4" w:rsidP="00B756F4">
      <w:pPr>
        <w:pStyle w:val="ListNumber"/>
        <w:rPr>
          <w:lang w:eastAsia="en-AU"/>
        </w:rPr>
      </w:pPr>
      <w:r w:rsidRPr="00BC4B12">
        <w:rPr>
          <w:lang w:eastAsia="en-AU"/>
        </w:rPr>
        <w:t>When someone is a KMP for part of the financial year, what part of their compensation should be disclosed?</w:t>
      </w:r>
    </w:p>
    <w:p w14:paraId="654FA414" w14:textId="03E5038F" w:rsidR="00B756F4" w:rsidRPr="00BC4B12" w:rsidRDefault="00B756F4" w:rsidP="00B756F4">
      <w:pPr>
        <w:pStyle w:val="ListParagraph"/>
      </w:pPr>
      <w:r w:rsidRPr="00BC4B12">
        <w:t xml:space="preserve">When someone is a KMP for </w:t>
      </w:r>
      <w:r w:rsidR="00E1520B" w:rsidRPr="00BC4B12">
        <w:t xml:space="preserve">only </w:t>
      </w:r>
      <w:r w:rsidRPr="00BC4B12">
        <w:t xml:space="preserve">part of the financial </w:t>
      </w:r>
      <w:r>
        <w:t>year, only the</w:t>
      </w:r>
      <w:r w:rsidRPr="00BC4B12">
        <w:t xml:space="preserve"> compensation paid or payable in exchange for the services that person performs as a KMP should be disclosed.</w:t>
      </w:r>
    </w:p>
    <w:p w14:paraId="02532C05" w14:textId="609C5813" w:rsidR="00B756F4" w:rsidRPr="000236E5" w:rsidRDefault="00B756F4" w:rsidP="000236E5">
      <w:pPr>
        <w:pStyle w:val="ListParagraph"/>
      </w:pPr>
      <w:r w:rsidRPr="00BC4B12">
        <w:t>Where KMP are paid, or accrue other compensation, then this should be allocated based on the services to which those amounts relate, regardless of when paid.</w:t>
      </w:r>
    </w:p>
    <w:p w14:paraId="4BCC6EB1" w14:textId="77777777" w:rsidR="00B756F4" w:rsidRPr="007B4271" w:rsidRDefault="00B756F4" w:rsidP="000236E5">
      <w:pPr>
        <w:pStyle w:val="ListNumber"/>
        <w:rPr>
          <w:lang w:eastAsia="en-AU"/>
        </w:rPr>
      </w:pPr>
      <w:r>
        <w:rPr>
          <w:lang w:eastAsia="en-AU"/>
        </w:rPr>
        <w:t xml:space="preserve"> </w:t>
      </w:r>
      <w:r w:rsidRPr="007B4271">
        <w:rPr>
          <w:lang w:eastAsia="en-AU"/>
        </w:rPr>
        <w:t>Are KMP compensation disclosures required to name individual KMP?</w:t>
      </w:r>
    </w:p>
    <w:p w14:paraId="2FFEF6BE" w14:textId="136F1EB0" w:rsidR="00B756F4" w:rsidRPr="000236E5" w:rsidRDefault="00B756F4" w:rsidP="000236E5">
      <w:pPr>
        <w:pStyle w:val="ListParagraph"/>
      </w:pPr>
      <w:r>
        <w:t xml:space="preserve">No. AASB 124 </w:t>
      </w:r>
      <w:r w:rsidRPr="00BC4B12">
        <w:t>does not require compensation disclosures to identify individuals or categories of KMP in the financial report. AASB 124 requires disclosure of KMP compensation in aggregate for each of the following</w:t>
      </w:r>
      <w:r>
        <w:t xml:space="preserve"> categories</w:t>
      </w:r>
      <w:r w:rsidRPr="00BC4B12">
        <w:t>:</w:t>
      </w:r>
    </w:p>
    <w:p w14:paraId="634C9968" w14:textId="77777777" w:rsidR="00B756F4" w:rsidRPr="00F7063C" w:rsidRDefault="00B756F4" w:rsidP="000236E5">
      <w:pPr>
        <w:pStyle w:val="ListParagraph"/>
        <w:numPr>
          <w:ilvl w:val="0"/>
          <w:numId w:val="21"/>
        </w:numPr>
        <w:rPr>
          <w:rFonts w:eastAsiaTheme="minorHAnsi" w:cs="Arial"/>
          <w:color w:val="000000"/>
        </w:rPr>
      </w:pPr>
      <w:r>
        <w:rPr>
          <w:rFonts w:eastAsiaTheme="minorHAnsi" w:cs="Arial"/>
          <w:color w:val="000000"/>
        </w:rPr>
        <w:t>short-term employee benefits;</w:t>
      </w:r>
    </w:p>
    <w:p w14:paraId="0CA62870" w14:textId="03C63E93" w:rsidR="00B756F4" w:rsidRPr="00F7063C" w:rsidRDefault="00B756F4" w:rsidP="000236E5">
      <w:pPr>
        <w:pStyle w:val="ListParagraph"/>
        <w:numPr>
          <w:ilvl w:val="0"/>
          <w:numId w:val="21"/>
        </w:numPr>
        <w:rPr>
          <w:rFonts w:eastAsiaTheme="minorHAnsi" w:cs="Arial"/>
          <w:color w:val="000000"/>
        </w:rPr>
      </w:pPr>
      <w:r w:rsidRPr="00F7063C">
        <w:rPr>
          <w:rFonts w:eastAsiaTheme="minorHAnsi" w:cs="Arial"/>
          <w:color w:val="000000"/>
        </w:rPr>
        <w:t>post-employment benefits</w:t>
      </w:r>
      <w:r>
        <w:rPr>
          <w:rFonts w:eastAsiaTheme="minorHAnsi" w:cs="Arial"/>
          <w:color w:val="000000"/>
        </w:rPr>
        <w:t>;</w:t>
      </w:r>
    </w:p>
    <w:p w14:paraId="5D6A1B9D" w14:textId="68EBC56A" w:rsidR="00B756F4" w:rsidRPr="00F7063C" w:rsidRDefault="00B756F4" w:rsidP="000236E5">
      <w:pPr>
        <w:pStyle w:val="ListParagraph"/>
        <w:numPr>
          <w:ilvl w:val="0"/>
          <w:numId w:val="21"/>
        </w:numPr>
        <w:rPr>
          <w:rFonts w:eastAsiaTheme="minorHAnsi" w:cs="Arial"/>
          <w:color w:val="000000"/>
        </w:rPr>
      </w:pPr>
      <w:r w:rsidRPr="00F7063C">
        <w:rPr>
          <w:rFonts w:eastAsiaTheme="minorHAnsi" w:cs="Arial"/>
          <w:color w:val="000000"/>
        </w:rPr>
        <w:t>other long-term benefits</w:t>
      </w:r>
      <w:r>
        <w:rPr>
          <w:rFonts w:eastAsiaTheme="minorHAnsi" w:cs="Arial"/>
          <w:color w:val="000000"/>
        </w:rPr>
        <w:t>;</w:t>
      </w:r>
      <w:r w:rsidR="00B57296">
        <w:rPr>
          <w:rFonts w:eastAsiaTheme="minorHAnsi" w:cs="Arial"/>
          <w:color w:val="000000"/>
        </w:rPr>
        <w:t xml:space="preserve"> and </w:t>
      </w:r>
    </w:p>
    <w:p w14:paraId="4AB24873" w14:textId="38015EA8" w:rsidR="00B756F4" w:rsidRPr="00F7063C" w:rsidRDefault="00B756F4" w:rsidP="000236E5">
      <w:pPr>
        <w:pStyle w:val="ListParagraph"/>
        <w:numPr>
          <w:ilvl w:val="0"/>
          <w:numId w:val="21"/>
        </w:numPr>
        <w:rPr>
          <w:rFonts w:eastAsiaTheme="minorHAnsi" w:cs="Arial"/>
          <w:color w:val="000000"/>
        </w:rPr>
      </w:pPr>
      <w:proofErr w:type="gramStart"/>
      <w:r w:rsidRPr="00F7063C">
        <w:rPr>
          <w:rFonts w:eastAsiaTheme="minorHAnsi" w:cs="Arial"/>
          <w:color w:val="000000"/>
        </w:rPr>
        <w:t>te</w:t>
      </w:r>
      <w:r>
        <w:rPr>
          <w:rFonts w:eastAsiaTheme="minorHAnsi" w:cs="Arial"/>
          <w:color w:val="000000"/>
        </w:rPr>
        <w:t>rmination</w:t>
      </w:r>
      <w:proofErr w:type="gramEnd"/>
      <w:r>
        <w:rPr>
          <w:rFonts w:eastAsiaTheme="minorHAnsi" w:cs="Arial"/>
          <w:color w:val="000000"/>
        </w:rPr>
        <w:t xml:space="preserve"> benefits</w:t>
      </w:r>
      <w:r w:rsidR="00B57296">
        <w:rPr>
          <w:rFonts w:eastAsiaTheme="minorHAnsi" w:cs="Arial"/>
          <w:color w:val="000000"/>
        </w:rPr>
        <w:t>.</w:t>
      </w:r>
    </w:p>
    <w:p w14:paraId="3075ED7C" w14:textId="675B34AA" w:rsidR="00B756F4" w:rsidRPr="00BC4B12" w:rsidRDefault="00B756F4" w:rsidP="000236E5">
      <w:pPr>
        <w:pStyle w:val="ListNumber"/>
        <w:rPr>
          <w:lang w:eastAsia="en-AU"/>
        </w:rPr>
      </w:pPr>
      <w:r w:rsidRPr="00BC4B12">
        <w:rPr>
          <w:lang w:eastAsia="en-AU"/>
        </w:rPr>
        <w:t>What are the required disclosures when KMP services are obtained from</w:t>
      </w:r>
      <w:r w:rsidR="00E63B51">
        <w:rPr>
          <w:lang w:eastAsia="en-AU"/>
        </w:rPr>
        <w:t xml:space="preserve"> agencies </w:t>
      </w:r>
      <w:r w:rsidR="00E1520B">
        <w:rPr>
          <w:lang w:eastAsia="en-AU"/>
        </w:rPr>
        <w:t xml:space="preserve">that </w:t>
      </w:r>
      <w:r w:rsidR="00E63B51">
        <w:rPr>
          <w:lang w:eastAsia="en-AU"/>
        </w:rPr>
        <w:t>provide</w:t>
      </w:r>
      <w:r w:rsidRPr="00BC4B12">
        <w:rPr>
          <w:lang w:eastAsia="en-AU"/>
        </w:rPr>
        <w:t xml:space="preserve"> </w:t>
      </w:r>
      <w:r w:rsidR="00E63B51">
        <w:rPr>
          <w:lang w:eastAsia="en-AU"/>
        </w:rPr>
        <w:t>shared services</w:t>
      </w:r>
      <w:r w:rsidRPr="00BC4B12">
        <w:rPr>
          <w:lang w:eastAsia="en-AU"/>
        </w:rPr>
        <w:t>?</w:t>
      </w:r>
    </w:p>
    <w:p w14:paraId="4A0CA670" w14:textId="2525AC52" w:rsidR="00E63B51" w:rsidRPr="00576A40" w:rsidRDefault="00E63B51" w:rsidP="00576A40">
      <w:pPr>
        <w:pStyle w:val="ListParagraph"/>
      </w:pPr>
      <w:r>
        <w:t xml:space="preserve">Some departments may have </w:t>
      </w:r>
      <w:r w:rsidR="00C570FF">
        <w:t>‘</w:t>
      </w:r>
      <w:r>
        <w:t>shared service arrangements</w:t>
      </w:r>
      <w:r w:rsidR="00C570FF">
        <w:t xml:space="preserve">’ </w:t>
      </w:r>
      <w:r>
        <w:t>and</w:t>
      </w:r>
      <w:r w:rsidR="00C570FF">
        <w:t>,</w:t>
      </w:r>
      <w:r>
        <w:t xml:space="preserve"> as </w:t>
      </w:r>
      <w:r w:rsidR="00C570FF">
        <w:t xml:space="preserve">a result, </w:t>
      </w:r>
      <w:r>
        <w:t xml:space="preserve">employ personnel (including KMP) on behalf of other agencies. The agency </w:t>
      </w:r>
      <w:r w:rsidR="00C570FF">
        <w:t xml:space="preserve">that </w:t>
      </w:r>
      <w:r>
        <w:t xml:space="preserve">employs the staff is usually reimbursed by relevant agencies for the personnel services. These agencies are examples of management entities and are subject to specific </w:t>
      </w:r>
      <w:r w:rsidRPr="00576A40">
        <w:t>accounting rules under AASB 124.</w:t>
      </w:r>
    </w:p>
    <w:p w14:paraId="6259E56F" w14:textId="74749D7B" w:rsidR="00E63B51" w:rsidRPr="00576A40" w:rsidRDefault="00E63B51" w:rsidP="00576A40">
      <w:pPr>
        <w:pStyle w:val="ListParagraph"/>
      </w:pPr>
      <w:r w:rsidRPr="00B57296">
        <w:t xml:space="preserve">The agency receiving the </w:t>
      </w:r>
      <w:r w:rsidRPr="007B0049">
        <w:t>shared services is exempt from disclosing KMP compensation in the normal form</w:t>
      </w:r>
      <w:r w:rsidR="005268CD">
        <w:t>. For example</w:t>
      </w:r>
      <w:r w:rsidR="00C570FF">
        <w:t>,</w:t>
      </w:r>
      <w:r w:rsidRPr="007B0049">
        <w:t xml:space="preserve"> in aggregate and for the categories of short</w:t>
      </w:r>
      <w:r w:rsidR="00C570FF">
        <w:t xml:space="preserve"> </w:t>
      </w:r>
      <w:r w:rsidRPr="007B0049">
        <w:t>term, long</w:t>
      </w:r>
      <w:r w:rsidR="00C570FF">
        <w:t xml:space="preserve"> </w:t>
      </w:r>
      <w:r w:rsidRPr="007B0049">
        <w:t>term</w:t>
      </w:r>
      <w:r w:rsidR="005268CD">
        <w:t xml:space="preserve"> and so on</w:t>
      </w:r>
      <w:r w:rsidRPr="007B0049">
        <w:t xml:space="preserve"> (AASB 124.17A). Instead, the agency obtaining the management services must</w:t>
      </w:r>
      <w:r w:rsidRPr="00576A40">
        <w:t xml:space="preserve"> disclose the name of the management entity (the staff agency)</w:t>
      </w:r>
      <w:r w:rsidR="0023635A" w:rsidRPr="00576A40">
        <w:t xml:space="preserve"> and the amount to be paid</w:t>
      </w:r>
      <w:r w:rsidRPr="00576A40">
        <w:t xml:space="preserve"> (expense incurred) to the management entity for such KMP services (AASB 124.18A).</w:t>
      </w:r>
    </w:p>
    <w:p w14:paraId="70C669E2" w14:textId="19B1509F" w:rsidR="00B756F4" w:rsidRPr="000236E5" w:rsidRDefault="00B756F4" w:rsidP="000236E5">
      <w:pPr>
        <w:pStyle w:val="ListNumber"/>
        <w:rPr>
          <w:lang w:eastAsia="en-AU"/>
        </w:rPr>
      </w:pPr>
      <w:r w:rsidRPr="00BC4B12">
        <w:rPr>
          <w:lang w:eastAsia="en-AU"/>
        </w:rPr>
        <w:t>What compensation amounts should be disclosed when KMP are shared by several agencies?</w:t>
      </w:r>
    </w:p>
    <w:p w14:paraId="06D8ED6E" w14:textId="38CA7530" w:rsidR="00B756F4" w:rsidRPr="00C224CE" w:rsidRDefault="00B756F4" w:rsidP="000236E5">
      <w:pPr>
        <w:pStyle w:val="ListParagraph"/>
        <w:rPr>
          <w:rFonts w:eastAsiaTheme="minorHAnsi"/>
        </w:rPr>
      </w:pPr>
      <w:r w:rsidRPr="00C224CE">
        <w:rPr>
          <w:rFonts w:eastAsiaTheme="minorHAnsi"/>
        </w:rPr>
        <w:t xml:space="preserve">Where a KMP is remunerated by one agency, but </w:t>
      </w:r>
      <w:r w:rsidR="00C570FF">
        <w:rPr>
          <w:rFonts w:eastAsiaTheme="minorHAnsi"/>
        </w:rPr>
        <w:t>his or her</w:t>
      </w:r>
      <w:r w:rsidR="00C570FF" w:rsidRPr="00C224CE">
        <w:rPr>
          <w:rFonts w:eastAsiaTheme="minorHAnsi"/>
        </w:rPr>
        <w:t xml:space="preserve"> </w:t>
      </w:r>
      <w:r w:rsidRPr="00C224CE">
        <w:rPr>
          <w:rFonts w:eastAsiaTheme="minorHAnsi"/>
        </w:rPr>
        <w:t xml:space="preserve">services are shared with other agencies, the KMP compensation disclosure will depend on whether those other agencies </w:t>
      </w:r>
      <w:r w:rsidR="00E63B51">
        <w:rPr>
          <w:rFonts w:eastAsiaTheme="minorHAnsi"/>
        </w:rPr>
        <w:t>pay</w:t>
      </w:r>
      <w:r w:rsidRPr="00C224CE">
        <w:rPr>
          <w:rFonts w:eastAsiaTheme="minorHAnsi"/>
        </w:rPr>
        <w:t xml:space="preserve"> the first agency for those services.</w:t>
      </w:r>
    </w:p>
    <w:p w14:paraId="4B193ED8" w14:textId="49FE95DE" w:rsidR="00B756F4" w:rsidRPr="00C224CE" w:rsidRDefault="00B756F4" w:rsidP="000236E5">
      <w:pPr>
        <w:pStyle w:val="ListParagraph"/>
        <w:rPr>
          <w:rFonts w:eastAsiaTheme="minorHAnsi"/>
        </w:rPr>
      </w:pPr>
      <w:r w:rsidRPr="00C224CE">
        <w:rPr>
          <w:rFonts w:eastAsiaTheme="minorHAnsi"/>
        </w:rPr>
        <w:t>The treatment is similar to the management entity concept discussed above and assumes the individual is assessed as a KMP of each agency in the arrangement:</w:t>
      </w:r>
    </w:p>
    <w:p w14:paraId="0F842ACF" w14:textId="2B8F6416" w:rsidR="00B756F4" w:rsidRPr="00D550EB" w:rsidRDefault="00B756F4" w:rsidP="000236E5">
      <w:pPr>
        <w:pStyle w:val="ListParagraph"/>
        <w:rPr>
          <w:rFonts w:eastAsiaTheme="minorHAnsi" w:cs="Arial"/>
          <w:color w:val="000000"/>
        </w:rPr>
      </w:pPr>
      <w:r w:rsidRPr="00D550EB">
        <w:rPr>
          <w:rFonts w:eastAsiaTheme="minorHAnsi" w:cs="Arial"/>
          <w:b/>
          <w:bCs/>
          <w:i/>
          <w:color w:val="000000"/>
        </w:rPr>
        <w:t xml:space="preserve">Agencies </w:t>
      </w:r>
      <w:r w:rsidR="00E63B51">
        <w:rPr>
          <w:rFonts w:eastAsiaTheme="minorHAnsi" w:cs="Arial"/>
          <w:b/>
          <w:bCs/>
          <w:i/>
          <w:color w:val="000000"/>
        </w:rPr>
        <w:t>pay</w:t>
      </w:r>
      <w:r w:rsidRPr="00D550EB">
        <w:rPr>
          <w:rFonts w:eastAsiaTheme="minorHAnsi" w:cs="Arial"/>
          <w:b/>
          <w:bCs/>
          <w:i/>
          <w:color w:val="000000"/>
        </w:rPr>
        <w:t xml:space="preserve"> the ‘</w:t>
      </w:r>
      <w:r w:rsidR="00E63B51">
        <w:rPr>
          <w:rFonts w:eastAsiaTheme="minorHAnsi" w:cs="Arial"/>
          <w:b/>
          <w:bCs/>
          <w:i/>
          <w:color w:val="000000"/>
        </w:rPr>
        <w:t xml:space="preserve">primary </w:t>
      </w:r>
      <w:r w:rsidRPr="00D550EB">
        <w:rPr>
          <w:rFonts w:eastAsiaTheme="minorHAnsi" w:cs="Arial"/>
          <w:b/>
          <w:bCs/>
          <w:i/>
          <w:color w:val="000000"/>
        </w:rPr>
        <w:t xml:space="preserve">remunerating agency’ </w:t>
      </w:r>
    </w:p>
    <w:p w14:paraId="11B1D2E8" w14:textId="186114E6" w:rsidR="00B756F4" w:rsidRPr="000236E5" w:rsidRDefault="00B756F4" w:rsidP="000236E5">
      <w:pPr>
        <w:pStyle w:val="ListParagraph"/>
      </w:pPr>
      <w:r w:rsidRPr="00BC4B12">
        <w:t>The agency remunerating the KMP will disclose its share of the cost as KMP compensation under the categories of short</w:t>
      </w:r>
      <w:r w:rsidR="00C570FF">
        <w:t xml:space="preserve"> </w:t>
      </w:r>
      <w:r w:rsidRPr="00BC4B12">
        <w:t>term, long</w:t>
      </w:r>
      <w:r w:rsidR="00C570FF">
        <w:t xml:space="preserve"> </w:t>
      </w:r>
      <w:r w:rsidRPr="00BC4B12">
        <w:t>term</w:t>
      </w:r>
      <w:r w:rsidR="00C570FF">
        <w:t xml:space="preserve"> and</w:t>
      </w:r>
      <w:r w:rsidRPr="00BC4B12">
        <w:t xml:space="preserve"> </w:t>
      </w:r>
      <w:r w:rsidR="00C570FF">
        <w:t>so on</w:t>
      </w:r>
      <w:r w:rsidRPr="00BC4B12">
        <w:t xml:space="preserve"> (AASB 124.17). The other agencies for whom that individual is also a KMP will disclose their reimbursement to the remunerating agency as compensation to a management entity for KMP services obtained (AASB 124.18A).</w:t>
      </w:r>
    </w:p>
    <w:p w14:paraId="6DF4D0AA" w14:textId="00E93DF4" w:rsidR="00B756F4" w:rsidRPr="00D550EB" w:rsidRDefault="00B756F4" w:rsidP="000236E5">
      <w:pPr>
        <w:pStyle w:val="ListParagraph"/>
        <w:rPr>
          <w:rFonts w:eastAsiaTheme="minorHAnsi" w:cs="Arial"/>
          <w:color w:val="000000"/>
        </w:rPr>
      </w:pPr>
      <w:r w:rsidRPr="00D550EB">
        <w:rPr>
          <w:rFonts w:eastAsiaTheme="minorHAnsi" w:cs="Arial"/>
          <w:b/>
          <w:bCs/>
          <w:i/>
          <w:color w:val="000000"/>
        </w:rPr>
        <w:t xml:space="preserve">Agencies do not </w:t>
      </w:r>
      <w:r w:rsidR="00E63B51">
        <w:rPr>
          <w:rFonts w:eastAsiaTheme="minorHAnsi" w:cs="Arial"/>
          <w:b/>
          <w:bCs/>
          <w:i/>
          <w:color w:val="000000"/>
        </w:rPr>
        <w:t>pay</w:t>
      </w:r>
      <w:r w:rsidRPr="00D550EB">
        <w:rPr>
          <w:rFonts w:eastAsiaTheme="minorHAnsi" w:cs="Arial"/>
          <w:b/>
          <w:bCs/>
          <w:i/>
          <w:color w:val="000000"/>
        </w:rPr>
        <w:t xml:space="preserve"> the ‘</w:t>
      </w:r>
      <w:r w:rsidR="00E63B51">
        <w:rPr>
          <w:rFonts w:eastAsiaTheme="minorHAnsi" w:cs="Arial"/>
          <w:b/>
          <w:bCs/>
          <w:i/>
          <w:color w:val="000000"/>
        </w:rPr>
        <w:t xml:space="preserve">primary </w:t>
      </w:r>
      <w:r w:rsidRPr="00D550EB">
        <w:rPr>
          <w:rFonts w:eastAsiaTheme="minorHAnsi" w:cs="Arial"/>
          <w:b/>
          <w:bCs/>
          <w:i/>
          <w:color w:val="000000"/>
        </w:rPr>
        <w:t xml:space="preserve">remunerating agency’ </w:t>
      </w:r>
    </w:p>
    <w:p w14:paraId="63F60769" w14:textId="6BE63832" w:rsidR="00B756F4" w:rsidRPr="00BC4B12" w:rsidRDefault="00B756F4" w:rsidP="000236E5">
      <w:pPr>
        <w:pStyle w:val="ListParagraph"/>
      </w:pPr>
      <w:r w:rsidRPr="00BC4B12">
        <w:t>The agency remunerating the KMP will disclose the total compensation for that individual as KMP compensation under the categories of short</w:t>
      </w:r>
      <w:r w:rsidR="00C570FF">
        <w:t xml:space="preserve"> </w:t>
      </w:r>
      <w:r w:rsidRPr="00BC4B12">
        <w:t>term, long</w:t>
      </w:r>
      <w:r w:rsidR="00C570FF">
        <w:t xml:space="preserve"> </w:t>
      </w:r>
      <w:r w:rsidRPr="00BC4B12">
        <w:t>term</w:t>
      </w:r>
      <w:r w:rsidR="00C92C9C">
        <w:t xml:space="preserve"> and so on</w:t>
      </w:r>
      <w:r w:rsidRPr="00BC4B12">
        <w:t xml:space="preserve"> (AASB 124.17). No disclosure is required in the other agencies as they are not obligated to reimburse a management entity for KMP services obtained (AASB 124.IG8).</w:t>
      </w:r>
    </w:p>
    <w:p w14:paraId="3DA96067" w14:textId="7A06B9BE" w:rsidR="00B756F4" w:rsidRPr="000236E5" w:rsidRDefault="00B756F4" w:rsidP="000236E5">
      <w:pPr>
        <w:pStyle w:val="ListNumber"/>
        <w:rPr>
          <w:lang w:eastAsia="en-AU"/>
        </w:rPr>
      </w:pPr>
      <w:r>
        <w:rPr>
          <w:lang w:eastAsia="en-AU"/>
        </w:rPr>
        <w:t xml:space="preserve"> </w:t>
      </w:r>
      <w:r w:rsidRPr="0041329E">
        <w:rPr>
          <w:lang w:eastAsia="en-AU"/>
        </w:rPr>
        <w:t xml:space="preserve">When should employment of a KMP close family member by a Territory </w:t>
      </w:r>
      <w:r w:rsidR="00C570FF">
        <w:rPr>
          <w:lang w:eastAsia="en-AU"/>
        </w:rPr>
        <w:t>g</w:t>
      </w:r>
      <w:r w:rsidR="00C570FF" w:rsidRPr="0041329E">
        <w:rPr>
          <w:lang w:eastAsia="en-AU"/>
        </w:rPr>
        <w:t xml:space="preserve">overnment </w:t>
      </w:r>
      <w:r w:rsidRPr="0041329E">
        <w:rPr>
          <w:lang w:eastAsia="en-AU"/>
        </w:rPr>
        <w:t>agency be disclosed?</w:t>
      </w:r>
    </w:p>
    <w:p w14:paraId="25E42031" w14:textId="29AC77D1" w:rsidR="00B756F4" w:rsidRPr="00BC4B12" w:rsidRDefault="00B756F4" w:rsidP="000236E5">
      <w:pPr>
        <w:pStyle w:val="ListParagraph"/>
      </w:pPr>
      <w:r w:rsidRPr="00BC4B12">
        <w:t>AASB 124 requires disclosure of material transactions with close family members of KMP</w:t>
      </w:r>
      <w:r w:rsidR="00C570FF">
        <w:t>,</w:t>
      </w:r>
      <w:r w:rsidRPr="00BC4B12">
        <w:t xml:space="preserve"> which includes employment of close family members in the public sector. In </w:t>
      </w:r>
      <w:r w:rsidR="00C570FF">
        <w:t>determining</w:t>
      </w:r>
      <w:r w:rsidR="00C570FF" w:rsidRPr="00BC4B12">
        <w:t xml:space="preserve"> </w:t>
      </w:r>
      <w:r w:rsidRPr="00BC4B12">
        <w:t>whether to disclose such employment relationships, consideration needs to be given to the following:</w:t>
      </w:r>
    </w:p>
    <w:p w14:paraId="3BB3CA4C" w14:textId="09241D06" w:rsidR="00B756F4" w:rsidRPr="00BC4B12" w:rsidRDefault="00C570FF" w:rsidP="000236E5">
      <w:pPr>
        <w:pStyle w:val="ListParagraph"/>
        <w:numPr>
          <w:ilvl w:val="0"/>
          <w:numId w:val="22"/>
        </w:numPr>
      </w:pPr>
      <w:proofErr w:type="gramStart"/>
      <w:r>
        <w:t>is</w:t>
      </w:r>
      <w:proofErr w:type="gramEnd"/>
      <w:r>
        <w:t xml:space="preserve"> </w:t>
      </w:r>
      <w:r w:rsidR="00B57296">
        <w:t>the employment of a close family member</w:t>
      </w:r>
      <w:r w:rsidR="00B57296" w:rsidRPr="00BC4B12">
        <w:t xml:space="preserve"> for a senior </w:t>
      </w:r>
      <w:r w:rsidR="00B57296">
        <w:t>executive position</w:t>
      </w:r>
      <w:r>
        <w:t>?</w:t>
      </w:r>
      <w:r w:rsidR="00B57296" w:rsidRPr="00BC4B12">
        <w:t xml:space="preserve"> </w:t>
      </w:r>
      <w:r w:rsidRPr="00BC4B12">
        <w:t xml:space="preserve">Employment </w:t>
      </w:r>
      <w:r w:rsidR="00B57296" w:rsidRPr="00BC4B12">
        <w:t xml:space="preserve">is not likely to be material for disclosure in the agency financial statements unless the employment was </w:t>
      </w:r>
      <w:r w:rsidR="00B57296">
        <w:t>for</w:t>
      </w:r>
      <w:r w:rsidR="00B57296" w:rsidRPr="00BC4B12">
        <w:t xml:space="preserve"> a senior </w:t>
      </w:r>
      <w:r w:rsidR="00B57296">
        <w:t xml:space="preserve">executive </w:t>
      </w:r>
      <w:r w:rsidR="00B57296" w:rsidRPr="00BC4B12">
        <w:t>position</w:t>
      </w:r>
      <w:r w:rsidR="00B756F4">
        <w:t>;</w:t>
      </w:r>
      <w:r w:rsidR="00B756F4" w:rsidRPr="00BC4B12">
        <w:t xml:space="preserve"> and </w:t>
      </w:r>
    </w:p>
    <w:p w14:paraId="7B649EEC" w14:textId="6D7C399B" w:rsidR="00B756F4" w:rsidRPr="00BC4B12" w:rsidRDefault="00C570FF" w:rsidP="000236E5">
      <w:pPr>
        <w:pStyle w:val="ListParagraph"/>
        <w:numPr>
          <w:ilvl w:val="0"/>
          <w:numId w:val="22"/>
        </w:numPr>
      </w:pPr>
      <w:proofErr w:type="gramStart"/>
      <w:r>
        <w:t>if</w:t>
      </w:r>
      <w:proofErr w:type="gramEnd"/>
      <w:r>
        <w:t xml:space="preserve"> </w:t>
      </w:r>
      <w:r w:rsidR="007B0049">
        <w:t xml:space="preserve">the KMP </w:t>
      </w:r>
      <w:r w:rsidR="007B0049" w:rsidRPr="00BC4B12">
        <w:t xml:space="preserve">close family member’s employment </w:t>
      </w:r>
      <w:r w:rsidR="007B0049">
        <w:t>is</w:t>
      </w:r>
      <w:r w:rsidR="007B0049" w:rsidRPr="00BC4B12">
        <w:t xml:space="preserve"> with the same entity as the KMP or with an entity controlled by the KMP</w:t>
      </w:r>
      <w:r w:rsidR="007B0049">
        <w:t xml:space="preserve"> agency</w:t>
      </w:r>
      <w:r w:rsidR="007B0049" w:rsidRPr="00BC4B12">
        <w:t xml:space="preserve">, the employment </w:t>
      </w:r>
      <w:r w:rsidR="007B0049">
        <w:t xml:space="preserve">would be regarded as a </w:t>
      </w:r>
      <w:r w:rsidR="007B0049" w:rsidRPr="00BC4B12">
        <w:t>related party transaction</w:t>
      </w:r>
      <w:r w:rsidR="00B756F4" w:rsidRPr="00BC4B12">
        <w:t>.</w:t>
      </w:r>
    </w:p>
    <w:p w14:paraId="5E31B15A" w14:textId="77777777" w:rsidR="00B756F4" w:rsidRPr="006907B1" w:rsidRDefault="00B756F4" w:rsidP="000236E5">
      <w:pPr>
        <w:pStyle w:val="ListParagraph"/>
        <w:rPr>
          <w:rFonts w:eastAsiaTheme="minorHAnsi" w:cs="Arial"/>
          <w:b/>
          <w:i/>
          <w:color w:val="000000"/>
        </w:rPr>
      </w:pPr>
      <w:r w:rsidRPr="006907B1">
        <w:rPr>
          <w:rFonts w:eastAsiaTheme="minorHAnsi" w:cs="Arial"/>
          <w:b/>
          <w:i/>
          <w:color w:val="000000"/>
        </w:rPr>
        <w:t xml:space="preserve">Example 1 </w:t>
      </w:r>
    </w:p>
    <w:p w14:paraId="336DC002" w14:textId="51BAE58B" w:rsidR="00B756F4" w:rsidRPr="006907B1" w:rsidRDefault="00B756F4" w:rsidP="000236E5">
      <w:pPr>
        <w:pStyle w:val="ListParagraph"/>
        <w:rPr>
          <w:rFonts w:eastAsiaTheme="minorHAnsi" w:cs="Arial"/>
          <w:color w:val="000000"/>
        </w:rPr>
      </w:pPr>
      <w:r w:rsidRPr="006907B1">
        <w:rPr>
          <w:rFonts w:eastAsiaTheme="minorHAnsi" w:cs="Arial"/>
          <w:color w:val="000000"/>
        </w:rPr>
        <w:t xml:space="preserve">Minister X is a KMP of Department of Tourism and Culture (DTC). </w:t>
      </w:r>
      <w:r w:rsidR="00C570FF">
        <w:rPr>
          <w:rFonts w:eastAsiaTheme="minorHAnsi" w:cs="Arial"/>
          <w:color w:val="000000"/>
        </w:rPr>
        <w:t xml:space="preserve">Minister </w:t>
      </w:r>
      <w:r w:rsidRPr="006907B1">
        <w:rPr>
          <w:rFonts w:eastAsiaTheme="minorHAnsi" w:cs="Arial"/>
          <w:color w:val="000000"/>
        </w:rPr>
        <w:t>X’s spouse</w:t>
      </w:r>
      <w:r w:rsidR="00C570FF">
        <w:rPr>
          <w:rFonts w:eastAsiaTheme="minorHAnsi" w:cs="Arial"/>
          <w:color w:val="000000"/>
        </w:rPr>
        <w:t>,</w:t>
      </w:r>
      <w:r w:rsidRPr="006907B1">
        <w:rPr>
          <w:rFonts w:eastAsiaTheme="minorHAnsi" w:cs="Arial"/>
          <w:color w:val="000000"/>
        </w:rPr>
        <w:t xml:space="preserve"> Y</w:t>
      </w:r>
      <w:r w:rsidR="00C570FF">
        <w:rPr>
          <w:rFonts w:eastAsiaTheme="minorHAnsi" w:cs="Arial"/>
          <w:color w:val="000000"/>
        </w:rPr>
        <w:t>,</w:t>
      </w:r>
      <w:r w:rsidRPr="006907B1">
        <w:rPr>
          <w:rFonts w:eastAsiaTheme="minorHAnsi" w:cs="Arial"/>
          <w:color w:val="000000"/>
        </w:rPr>
        <w:t xml:space="preserve"> is employed as an executive officer in Department of Health (DOH). </w:t>
      </w:r>
    </w:p>
    <w:p w14:paraId="096246E5" w14:textId="0A04F79E" w:rsidR="00B756F4" w:rsidRPr="000236E5" w:rsidRDefault="00B756F4" w:rsidP="000236E5">
      <w:pPr>
        <w:pStyle w:val="ListParagraph"/>
      </w:pPr>
      <w:r w:rsidRPr="00BC4B12">
        <w:t>In this example, Y’s employment in DOH is not a rela</w:t>
      </w:r>
      <w:r>
        <w:t>ted party transaction in DTC’s</w:t>
      </w:r>
      <w:r w:rsidRPr="00BC4B12">
        <w:t xml:space="preserve"> financial report.</w:t>
      </w:r>
    </w:p>
    <w:p w14:paraId="1E02A0C4" w14:textId="05E7F3A2" w:rsidR="00B756F4" w:rsidRPr="000236E5" w:rsidRDefault="00B756F4" w:rsidP="000236E5">
      <w:pPr>
        <w:pStyle w:val="ListNumber"/>
        <w:rPr>
          <w:lang w:eastAsia="en-AU"/>
        </w:rPr>
      </w:pPr>
      <w:r>
        <w:rPr>
          <w:lang w:eastAsia="en-AU"/>
        </w:rPr>
        <w:t xml:space="preserve"> </w:t>
      </w:r>
      <w:r w:rsidRPr="00BC4B12">
        <w:rPr>
          <w:lang w:eastAsia="en-AU"/>
        </w:rPr>
        <w:t>How will information be collected and declared if a person is a KMP of more than one entity?</w:t>
      </w:r>
    </w:p>
    <w:p w14:paraId="1B618B52" w14:textId="617D1AE0" w:rsidR="00B756F4" w:rsidRPr="00BC4B12" w:rsidRDefault="00B756F4" w:rsidP="000236E5">
      <w:pPr>
        <w:pStyle w:val="ListParagraph"/>
      </w:pPr>
      <w:r w:rsidRPr="00BC4B12">
        <w:t xml:space="preserve">Each entity needs to assess and determine </w:t>
      </w:r>
      <w:r w:rsidR="00925890">
        <w:t>its</w:t>
      </w:r>
      <w:r w:rsidR="00925890" w:rsidRPr="00BC4B12">
        <w:t xml:space="preserve"> </w:t>
      </w:r>
      <w:r w:rsidRPr="00BC4B12">
        <w:t xml:space="preserve">KMP. Therefore, where a person is a KMP of more than one entity, each entity would need to consider the person as </w:t>
      </w:r>
      <w:r w:rsidR="00925890">
        <w:t>its</w:t>
      </w:r>
      <w:r w:rsidR="00925890" w:rsidRPr="00BC4B12">
        <w:t xml:space="preserve"> </w:t>
      </w:r>
      <w:r w:rsidRPr="00BC4B12">
        <w:t xml:space="preserve">KMP and undertake the relevant process to collect related party information as required. As a result, the KMP may need to complete a separate declaration certificate for each entity </w:t>
      </w:r>
      <w:r w:rsidR="00925890">
        <w:t>of which he or she is</w:t>
      </w:r>
      <w:r w:rsidRPr="00BC4B12">
        <w:t xml:space="preserve"> a KMP.</w:t>
      </w:r>
      <w:r>
        <w:t xml:space="preserve"> However, the above does not apply to </w:t>
      </w:r>
      <w:r w:rsidR="007B0049">
        <w:t>m</w:t>
      </w:r>
      <w:r>
        <w:t xml:space="preserve">inisters as their information will be collected centrally by </w:t>
      </w:r>
      <w:r w:rsidRPr="009341C8">
        <w:t xml:space="preserve">DCM. </w:t>
      </w:r>
      <w:r>
        <w:t>DCM</w:t>
      </w:r>
      <w:r w:rsidRPr="001C0E7B">
        <w:t xml:space="preserve"> will </w:t>
      </w:r>
      <w:r w:rsidR="00116AE5">
        <w:t xml:space="preserve">pass </w:t>
      </w:r>
      <w:r w:rsidRPr="001C0E7B">
        <w:t xml:space="preserve">the information collected from </w:t>
      </w:r>
      <w:r w:rsidR="007B0049">
        <w:t>m</w:t>
      </w:r>
      <w:r w:rsidRPr="001C0E7B">
        <w:t xml:space="preserve">inisters to </w:t>
      </w:r>
      <w:r w:rsidR="000B1FF7">
        <w:t>DTF</w:t>
      </w:r>
      <w:r w:rsidRPr="001C0E7B">
        <w:t xml:space="preserve"> who will review and compile the financial report disclosures for agencies. Only material disclosures will be disseminated to relevant agency Chief Financial Officers for inclusion in their annual financial statement disclosures.</w:t>
      </w:r>
    </w:p>
    <w:p w14:paraId="638050C2" w14:textId="2CE33148" w:rsidR="00B756F4" w:rsidRPr="000236E5" w:rsidRDefault="00B756F4" w:rsidP="00EA6C3B">
      <w:pPr>
        <w:pStyle w:val="ListNumber"/>
        <w:rPr>
          <w:lang w:eastAsia="en-AU"/>
        </w:rPr>
      </w:pPr>
      <w:r>
        <w:rPr>
          <w:lang w:eastAsia="en-AU"/>
        </w:rPr>
        <w:t xml:space="preserve"> </w:t>
      </w:r>
      <w:r w:rsidRPr="00BC4B12">
        <w:rPr>
          <w:lang w:eastAsia="en-AU"/>
        </w:rPr>
        <w:t xml:space="preserve">What information collected for AASB 124 will be subject to </w:t>
      </w:r>
      <w:r w:rsidR="00925890">
        <w:rPr>
          <w:lang w:eastAsia="en-AU"/>
        </w:rPr>
        <w:t>f</w:t>
      </w:r>
      <w:r w:rsidR="00925890" w:rsidRPr="00BC4B12">
        <w:rPr>
          <w:lang w:eastAsia="en-AU"/>
        </w:rPr>
        <w:t xml:space="preserve">reedom </w:t>
      </w:r>
      <w:r w:rsidRPr="00BC4B12">
        <w:rPr>
          <w:lang w:eastAsia="en-AU"/>
        </w:rPr>
        <w:t xml:space="preserve">of </w:t>
      </w:r>
      <w:r w:rsidR="00925890">
        <w:rPr>
          <w:lang w:eastAsia="en-AU"/>
        </w:rPr>
        <w:t>i</w:t>
      </w:r>
      <w:r w:rsidR="00925890" w:rsidRPr="00BC4B12">
        <w:rPr>
          <w:lang w:eastAsia="en-AU"/>
        </w:rPr>
        <w:t xml:space="preserve">nformation </w:t>
      </w:r>
      <w:r w:rsidRPr="00BC4B12">
        <w:rPr>
          <w:lang w:eastAsia="en-AU"/>
        </w:rPr>
        <w:t xml:space="preserve">requests under the </w:t>
      </w:r>
      <w:r w:rsidRPr="00CA621A">
        <w:rPr>
          <w:i/>
          <w:lang w:eastAsia="en-AU"/>
        </w:rPr>
        <w:t>Information Act</w:t>
      </w:r>
      <w:r w:rsidRPr="00BC4B12">
        <w:rPr>
          <w:lang w:eastAsia="en-AU"/>
        </w:rPr>
        <w:t>?</w:t>
      </w:r>
    </w:p>
    <w:p w14:paraId="4CA70B3A" w14:textId="09210BBE" w:rsidR="00B756F4" w:rsidRPr="00BC4B12" w:rsidRDefault="00B756F4" w:rsidP="00EA6C3B">
      <w:pPr>
        <w:pStyle w:val="ListParagraph"/>
        <w:rPr>
          <w:rFonts w:eastAsiaTheme="minorHAnsi" w:cs="Arial"/>
          <w:color w:val="000000"/>
        </w:rPr>
      </w:pPr>
      <w:r>
        <w:rPr>
          <w:rFonts w:eastAsiaTheme="minorHAnsi" w:cs="Arial"/>
          <w:color w:val="000000"/>
        </w:rPr>
        <w:t xml:space="preserve">Information </w:t>
      </w:r>
      <w:r w:rsidRPr="00BC4B12">
        <w:rPr>
          <w:rFonts w:eastAsiaTheme="minorHAnsi" w:cs="Arial"/>
          <w:color w:val="000000"/>
        </w:rPr>
        <w:t>collected fro</w:t>
      </w:r>
      <w:r>
        <w:rPr>
          <w:rFonts w:eastAsiaTheme="minorHAnsi" w:cs="Arial"/>
          <w:color w:val="000000"/>
        </w:rPr>
        <w:t>m KMP</w:t>
      </w:r>
      <w:r w:rsidRPr="00BC4B12">
        <w:rPr>
          <w:rFonts w:eastAsiaTheme="minorHAnsi" w:cs="Arial"/>
          <w:color w:val="000000"/>
        </w:rPr>
        <w:t xml:space="preserve"> will be used to assess and determine if </w:t>
      </w:r>
      <w:r>
        <w:rPr>
          <w:rFonts w:eastAsiaTheme="minorHAnsi" w:cs="Arial"/>
          <w:color w:val="000000"/>
        </w:rPr>
        <w:t>disclosure is required in the related party notes in the respective pu</w:t>
      </w:r>
      <w:r w:rsidRPr="00BC4B12">
        <w:rPr>
          <w:rFonts w:eastAsiaTheme="minorHAnsi" w:cs="Arial"/>
          <w:color w:val="000000"/>
        </w:rPr>
        <w:t xml:space="preserve">blic sector entity’s financial reports. </w:t>
      </w:r>
    </w:p>
    <w:p w14:paraId="3F66875D" w14:textId="6E75FDA1" w:rsidR="00B756F4" w:rsidRPr="00BC4B12" w:rsidRDefault="00B756F4" w:rsidP="00EA6C3B">
      <w:pPr>
        <w:pStyle w:val="ListParagraph"/>
      </w:pPr>
      <w:r>
        <w:t>As a result, all information</w:t>
      </w:r>
      <w:r w:rsidR="00925890">
        <w:t>,</w:t>
      </w:r>
      <w:r w:rsidRPr="00BC4B12">
        <w:t xml:space="preserve"> which includes related party transactions disclosed in the Declaration Form</w:t>
      </w:r>
      <w:r>
        <w:t xml:space="preserve"> completed by </w:t>
      </w:r>
      <w:r w:rsidR="00E2617D">
        <w:t>m</w:t>
      </w:r>
      <w:r w:rsidRPr="00BC4B12">
        <w:t>inisters and other KMP</w:t>
      </w:r>
      <w:r w:rsidR="00925890">
        <w:t>,</w:t>
      </w:r>
      <w:r>
        <w:t xml:space="preserve"> </w:t>
      </w:r>
      <w:r w:rsidRPr="00BC4B12">
        <w:t xml:space="preserve">will be subject to </w:t>
      </w:r>
      <w:r w:rsidR="00925890">
        <w:t>f</w:t>
      </w:r>
      <w:r w:rsidRPr="00BC4B12">
        <w:t xml:space="preserve">reedom of </w:t>
      </w:r>
      <w:r w:rsidR="00925890">
        <w:t>i</w:t>
      </w:r>
      <w:r w:rsidR="00925890" w:rsidRPr="00BC4B12">
        <w:t xml:space="preserve">nformation </w:t>
      </w:r>
      <w:r w:rsidRPr="00BC4B12">
        <w:t>(FOI) requests.</w:t>
      </w:r>
    </w:p>
    <w:p w14:paraId="1DA4C989" w14:textId="3F900A97" w:rsidR="00B756F4" w:rsidRPr="00EA6C3B" w:rsidRDefault="00B756F4" w:rsidP="00EA6C3B">
      <w:pPr>
        <w:pStyle w:val="ListParagraph"/>
        <w:rPr>
          <w:rFonts w:cs="Arial"/>
        </w:rPr>
      </w:pPr>
      <w:r w:rsidRPr="00BC4B12">
        <w:rPr>
          <w:rFonts w:cs="Arial"/>
        </w:rPr>
        <w:t xml:space="preserve">FOI applications seeking access to personal information contained in KMP related party transaction disclosures will be assessed in accordance with Part 3 of the </w:t>
      </w:r>
      <w:r w:rsidRPr="00BC4B12">
        <w:rPr>
          <w:rFonts w:cs="Arial"/>
          <w:i/>
        </w:rPr>
        <w:t>Information Act</w:t>
      </w:r>
      <w:r w:rsidRPr="00BC4B12">
        <w:rPr>
          <w:rFonts w:cs="Arial"/>
        </w:rPr>
        <w:t>. KMP</w:t>
      </w:r>
      <w:r w:rsidR="00E2617D">
        <w:rPr>
          <w:rFonts w:cs="Arial"/>
        </w:rPr>
        <w:t xml:space="preserve"> </w:t>
      </w:r>
      <w:r w:rsidRPr="00BC4B12">
        <w:rPr>
          <w:rFonts w:cs="Arial"/>
        </w:rPr>
        <w:t xml:space="preserve">personal information will not be disclosed to FOI applicants without prior consultation with the affected KMP under </w:t>
      </w:r>
      <w:r w:rsidR="00AB48CE">
        <w:rPr>
          <w:rFonts w:cs="Arial"/>
        </w:rPr>
        <w:t>S</w:t>
      </w:r>
      <w:r w:rsidR="00AB48CE" w:rsidRPr="00BC4B12">
        <w:rPr>
          <w:rFonts w:cs="Arial"/>
        </w:rPr>
        <w:t xml:space="preserve">ection </w:t>
      </w:r>
      <w:r w:rsidRPr="00BC4B12">
        <w:rPr>
          <w:rFonts w:cs="Arial"/>
        </w:rPr>
        <w:t xml:space="preserve">30 of the </w:t>
      </w:r>
      <w:r w:rsidRPr="00BC4B12">
        <w:rPr>
          <w:rFonts w:cs="Arial"/>
          <w:i/>
        </w:rPr>
        <w:t>Information Act</w:t>
      </w:r>
      <w:r w:rsidRPr="00BC4B12">
        <w:rPr>
          <w:rFonts w:cs="Arial"/>
        </w:rPr>
        <w:t>.</w:t>
      </w:r>
    </w:p>
    <w:p w14:paraId="4CCB0A60" w14:textId="13F31B80" w:rsidR="00B756F4" w:rsidRPr="00EA6C3B" w:rsidRDefault="00B756F4" w:rsidP="00EA6C3B">
      <w:pPr>
        <w:pStyle w:val="ListNumber"/>
        <w:rPr>
          <w:lang w:eastAsia="en-AU"/>
        </w:rPr>
      </w:pPr>
      <w:r>
        <w:rPr>
          <w:lang w:eastAsia="en-AU"/>
        </w:rPr>
        <w:t xml:space="preserve"> </w:t>
      </w:r>
      <w:r w:rsidRPr="00BC4B12">
        <w:rPr>
          <w:lang w:eastAsia="en-AU"/>
        </w:rPr>
        <w:t xml:space="preserve">What should a KMP do if </w:t>
      </w:r>
      <w:r w:rsidR="00925890">
        <w:rPr>
          <w:lang w:eastAsia="en-AU"/>
        </w:rPr>
        <w:t>he or she</w:t>
      </w:r>
      <w:r w:rsidRPr="00BC4B12">
        <w:rPr>
          <w:lang w:eastAsia="en-AU"/>
        </w:rPr>
        <w:t xml:space="preserve"> is not aware of any related party transactions to report?</w:t>
      </w:r>
    </w:p>
    <w:p w14:paraId="2459DAE5" w14:textId="26A50D33" w:rsidR="00B756F4" w:rsidRPr="00BC4B12" w:rsidRDefault="00B756F4" w:rsidP="00EA6C3B">
      <w:pPr>
        <w:pStyle w:val="ListParagraph"/>
      </w:pPr>
      <w:r w:rsidRPr="00BC4B12">
        <w:t xml:space="preserve">KMP </w:t>
      </w:r>
      <w:r w:rsidR="00925890">
        <w:t>are</w:t>
      </w:r>
      <w:r w:rsidR="00925890" w:rsidRPr="00BC4B12">
        <w:t xml:space="preserve"> </w:t>
      </w:r>
      <w:r w:rsidRPr="00BC4B12">
        <w:t>expected to make enquiries of their related parties and disclose information they are aware of. In the event that a KMP becomes aware there may be some related par</w:t>
      </w:r>
      <w:r>
        <w:t xml:space="preserve">ty transactions but the KMP does not have specific details </w:t>
      </w:r>
      <w:r w:rsidRPr="00BC4B12">
        <w:t xml:space="preserve">of the transactions, the KMP is encouraged to declare any known details of </w:t>
      </w:r>
      <w:r w:rsidR="00925890">
        <w:t>his or her</w:t>
      </w:r>
      <w:r w:rsidR="00925890" w:rsidRPr="00BC4B12">
        <w:t xml:space="preserve"> </w:t>
      </w:r>
      <w:r w:rsidRPr="00BC4B12">
        <w:t>related parties so the relevant reporting entity can assist the KMP in determining whether disclosure of the transaction is required. This will assist in minimising the risk of potential omissions of transactions that should be declared.</w:t>
      </w:r>
    </w:p>
    <w:p w14:paraId="7F536D21" w14:textId="399AC15B" w:rsidR="00B756F4" w:rsidRPr="00EA6C3B" w:rsidRDefault="00B756F4" w:rsidP="00EA6C3B">
      <w:pPr>
        <w:pStyle w:val="ListNumber"/>
        <w:rPr>
          <w:lang w:eastAsia="en-AU"/>
        </w:rPr>
      </w:pPr>
      <w:r>
        <w:rPr>
          <w:lang w:eastAsia="en-AU"/>
        </w:rPr>
        <w:t xml:space="preserve"> </w:t>
      </w:r>
      <w:r w:rsidRPr="00BC4B12">
        <w:rPr>
          <w:lang w:eastAsia="en-AU"/>
        </w:rPr>
        <w:t>Could a threshold be applied for data collection of related party transactions?</w:t>
      </w:r>
    </w:p>
    <w:p w14:paraId="3E8E92D5" w14:textId="77777777" w:rsidR="00B756F4" w:rsidRPr="00BC4B12" w:rsidRDefault="00B756F4" w:rsidP="00EA6C3B">
      <w:pPr>
        <w:pStyle w:val="ListParagraph"/>
      </w:pPr>
      <w:r w:rsidRPr="00BC4B12">
        <w:t xml:space="preserve">AASB 124 only requires the </w:t>
      </w:r>
      <w:r w:rsidRPr="00BC4B12">
        <w:rPr>
          <w:b/>
          <w:bCs/>
        </w:rPr>
        <w:t xml:space="preserve">disclosure </w:t>
      </w:r>
      <w:r w:rsidRPr="00BC4B12">
        <w:t>of material related party transactions and their outstanding balances in the financial statements. Materiality is subject to professional judgement and goes beyond the dollar value of the transaction or balance.</w:t>
      </w:r>
    </w:p>
    <w:p w14:paraId="7EA3DB5A" w14:textId="24F818A6" w:rsidR="00B756F4" w:rsidRPr="00BC4B12" w:rsidRDefault="00B756F4" w:rsidP="00EA6C3B">
      <w:pPr>
        <w:pStyle w:val="ListParagraph"/>
      </w:pPr>
      <w:r w:rsidRPr="00BC4B12">
        <w:t>A threshold of $10</w:t>
      </w:r>
      <w:r w:rsidR="00AB48CE">
        <w:t> </w:t>
      </w:r>
      <w:r w:rsidRPr="00BC4B12">
        <w:t>000 (excluding GST) may be applied only to standard commerci</w:t>
      </w:r>
      <w:r>
        <w:t>al transactions to ease the information</w:t>
      </w:r>
      <w:r w:rsidRPr="00BC4B12">
        <w:t xml:space="preserve"> collection and reporting burden of related party transactions with KMP, their close members and entities under their control.</w:t>
      </w:r>
    </w:p>
    <w:p w14:paraId="6F231410" w14:textId="441F5DEB" w:rsidR="00B756F4" w:rsidRPr="00BC4B12" w:rsidRDefault="00B756F4" w:rsidP="00EA6C3B">
      <w:pPr>
        <w:pStyle w:val="ListParagraph"/>
        <w:rPr>
          <w:b/>
          <w:bCs/>
        </w:rPr>
      </w:pPr>
      <w:r w:rsidRPr="00BC4B12">
        <w:t>For all other</w:t>
      </w:r>
      <w:r>
        <w:t xml:space="preserve"> transactions or contracts, KMP </w:t>
      </w:r>
      <w:r w:rsidRPr="00BC4B12">
        <w:t>are required to declare all transactions, regardless of the financial amount</w:t>
      </w:r>
      <w:r w:rsidRPr="00BC4B12">
        <w:rPr>
          <w:b/>
          <w:bCs/>
        </w:rPr>
        <w:t>.</w:t>
      </w:r>
    </w:p>
    <w:p w14:paraId="2FC59A22" w14:textId="01A7111A" w:rsidR="00B756F4" w:rsidRPr="00BC4B12" w:rsidRDefault="007B0049" w:rsidP="00EA6C3B">
      <w:pPr>
        <w:pStyle w:val="ListParagraph"/>
      </w:pPr>
      <w:r>
        <w:t xml:space="preserve">For example, where an entity has a standard contract with its </w:t>
      </w:r>
      <w:r w:rsidR="00F46CB8">
        <w:t>KMP-</w:t>
      </w:r>
      <w:r>
        <w:t>related party to provide information technology equipment for a total value of $6000 over three years, the contract is below the $10</w:t>
      </w:r>
      <w:r w:rsidR="00AB48CE">
        <w:t> </w:t>
      </w:r>
      <w:r>
        <w:t xml:space="preserve">000 threshold. The KMP may elect </w:t>
      </w:r>
      <w:r w:rsidR="00F46CB8">
        <w:t xml:space="preserve">not </w:t>
      </w:r>
      <w:r>
        <w:t>to declare the transaction. However, if the contract is to provide services for a total value of $15</w:t>
      </w:r>
      <w:r w:rsidR="00817EA9">
        <w:t> </w:t>
      </w:r>
      <w:r>
        <w:t>000 over three years, the contract amount is above the $10</w:t>
      </w:r>
      <w:r w:rsidR="00817EA9">
        <w:t> </w:t>
      </w:r>
      <w:r>
        <w:t>000 threshold. The transaction must be declared, even though the service amount of $5000 each year is below the $10</w:t>
      </w:r>
      <w:r w:rsidR="00817EA9">
        <w:t> </w:t>
      </w:r>
      <w:r>
        <w:t>000 threshold</w:t>
      </w:r>
      <w:r w:rsidR="00B756F4" w:rsidRPr="00BC4B12">
        <w:t>.</w:t>
      </w:r>
    </w:p>
    <w:p w14:paraId="4AB6C89E" w14:textId="71992342" w:rsidR="00B756F4" w:rsidRDefault="007B0049" w:rsidP="00EA6C3B">
      <w:pPr>
        <w:pStyle w:val="ListParagraph"/>
      </w:pPr>
      <w:r>
        <w:t xml:space="preserve">An example of a contract or agreement on </w:t>
      </w:r>
      <w:r w:rsidRPr="003A1FC3">
        <w:rPr>
          <w:rStyle w:val="Strong"/>
        </w:rPr>
        <w:t>non-standard terms and conditions</w:t>
      </w:r>
      <w:r>
        <w:t xml:space="preserve"> of the Territory is an entity </w:t>
      </w:r>
      <w:r w:rsidR="00F46CB8">
        <w:t xml:space="preserve">that </w:t>
      </w:r>
      <w:r>
        <w:t xml:space="preserve">has a contract with its </w:t>
      </w:r>
      <w:r w:rsidR="00F46CB8">
        <w:t>KMP-</w:t>
      </w:r>
      <w:r>
        <w:t xml:space="preserve">related party to provide web design services for a total value of $2500 over two years. As part of the negotiations, a 30 per cent discount has been provided, which is over and above the standard discount typically provided to customers. This is regarded as varying the standard government terms and conditions of agreement and </w:t>
      </w:r>
      <w:r w:rsidR="00F46CB8">
        <w:t>therefore</w:t>
      </w:r>
      <w:r>
        <w:t xml:space="preserve"> the related party contract would need to be declared regardless of its total value</w:t>
      </w:r>
      <w:r w:rsidR="00B756F4" w:rsidRPr="00BC4B12">
        <w:t>.</w:t>
      </w:r>
    </w:p>
    <w:p w14:paraId="363CAC95" w14:textId="6030AED0" w:rsidR="00B756F4" w:rsidRPr="00EA6C3B" w:rsidRDefault="00B756F4" w:rsidP="00EA6C3B">
      <w:pPr>
        <w:pStyle w:val="ListNumber"/>
        <w:rPr>
          <w:lang w:eastAsia="en-AU"/>
        </w:rPr>
      </w:pPr>
      <w:r w:rsidRPr="00BC4B12">
        <w:rPr>
          <w:lang w:eastAsia="en-AU"/>
        </w:rPr>
        <w:t>When collecting information of related party transactions, is it collected on the accrual basis or cash basis?</w:t>
      </w:r>
    </w:p>
    <w:p w14:paraId="50B5ADF0" w14:textId="3F0F86C1" w:rsidR="00B756F4" w:rsidRDefault="00B756F4" w:rsidP="00EA6C3B">
      <w:pPr>
        <w:pStyle w:val="ListParagraph"/>
      </w:pPr>
      <w:r w:rsidRPr="00894081">
        <w:t>Info</w:t>
      </w:r>
      <w:r>
        <w:t xml:space="preserve">rmation collected will be on an </w:t>
      </w:r>
      <w:r w:rsidRPr="00894081">
        <w:t>accrual basis</w:t>
      </w:r>
      <w:r>
        <w:t xml:space="preserve"> as agency and whole of government financial statements are prepared on an accrual basis. </w:t>
      </w:r>
      <w:r w:rsidR="00C871E6">
        <w:t>Consequently,</w:t>
      </w:r>
      <w:r w:rsidRPr="00894081">
        <w:t xml:space="preserve"> if goods or services </w:t>
      </w:r>
      <w:r w:rsidR="00C871E6">
        <w:t>are</w:t>
      </w:r>
      <w:r>
        <w:t xml:space="preserve"> received or</w:t>
      </w:r>
      <w:r w:rsidRPr="00894081">
        <w:t xml:space="preserve"> provided</w:t>
      </w:r>
      <w:r>
        <w:t xml:space="preserve"> </w:t>
      </w:r>
      <w:r w:rsidRPr="00894081">
        <w:t xml:space="preserve">but a payment has not </w:t>
      </w:r>
      <w:r w:rsidR="00C871E6" w:rsidRPr="00894081">
        <w:t xml:space="preserve">yet </w:t>
      </w:r>
      <w:r w:rsidRPr="00894081">
        <w:t xml:space="preserve">been made for these </w:t>
      </w:r>
      <w:r w:rsidR="00C871E6">
        <w:t xml:space="preserve">goods or </w:t>
      </w:r>
      <w:r w:rsidRPr="00894081">
        <w:t xml:space="preserve">services, </w:t>
      </w:r>
      <w:r>
        <w:t xml:space="preserve">KMP are still required to record these transactions in their </w:t>
      </w:r>
      <w:r w:rsidRPr="00E83A6B">
        <w:rPr>
          <w:rStyle w:val="Strong"/>
          <w:b w:val="0"/>
        </w:rPr>
        <w:t>Related Party Disclosures Declaration Form</w:t>
      </w:r>
      <w:r w:rsidRPr="00E83A6B">
        <w:rPr>
          <w:b/>
        </w:rPr>
        <w:t>.</w:t>
      </w:r>
      <w:r>
        <w:t xml:space="preserve"> </w:t>
      </w:r>
    </w:p>
    <w:p w14:paraId="64DEB9E9" w14:textId="7B027EF3" w:rsidR="00B756F4" w:rsidRPr="00BC4B12" w:rsidRDefault="00B756F4" w:rsidP="00EA6C3B">
      <w:pPr>
        <w:pStyle w:val="ListNumber"/>
        <w:rPr>
          <w:lang w:eastAsia="en-AU"/>
        </w:rPr>
      </w:pPr>
      <w:r w:rsidRPr="00BC4B12">
        <w:rPr>
          <w:lang w:eastAsia="en-AU"/>
        </w:rPr>
        <w:t>Would grants passed o</w:t>
      </w:r>
      <w:r>
        <w:rPr>
          <w:lang w:eastAsia="en-AU"/>
        </w:rPr>
        <w:t>n between government</w:t>
      </w:r>
      <w:r w:rsidR="005C33D2">
        <w:rPr>
          <w:lang w:eastAsia="en-AU"/>
        </w:rPr>
        <w:t>-</w:t>
      </w:r>
      <w:r>
        <w:rPr>
          <w:lang w:eastAsia="en-AU"/>
        </w:rPr>
        <w:t xml:space="preserve">related entities </w:t>
      </w:r>
      <w:r w:rsidRPr="00BC4B12">
        <w:rPr>
          <w:lang w:eastAsia="en-AU"/>
        </w:rPr>
        <w:t xml:space="preserve">be required for disclosure as related party transactions? </w:t>
      </w:r>
    </w:p>
    <w:p w14:paraId="3CB7E831" w14:textId="3C403918" w:rsidR="00B756F4" w:rsidRPr="00BC4B12" w:rsidRDefault="00B756F4" w:rsidP="00EA6C3B">
      <w:pPr>
        <w:pStyle w:val="ListParagraph"/>
      </w:pPr>
      <w:r w:rsidRPr="00BC4B12">
        <w:t>AASB 124 allows reduced disclosures for transactions with government-related entities (GRE) compared to transactions with other related parties.</w:t>
      </w:r>
      <w:r>
        <w:t xml:space="preserve"> </w:t>
      </w:r>
      <w:r w:rsidR="005C33D2">
        <w:t>GREs</w:t>
      </w:r>
      <w:r w:rsidRPr="00BC4B12">
        <w:t xml:space="preserve"> are entities controlled by the same government.</w:t>
      </w:r>
    </w:p>
    <w:p w14:paraId="7A1849A3" w14:textId="012A81BE" w:rsidR="00B756F4" w:rsidRPr="00BC4B12" w:rsidRDefault="00B756F4" w:rsidP="00EA6C3B">
      <w:pPr>
        <w:pStyle w:val="ListParagraph"/>
      </w:pPr>
      <w:r>
        <w:t xml:space="preserve">Agencies or departments </w:t>
      </w:r>
      <w:r w:rsidRPr="00BC4B12">
        <w:t>are related as all entities are controlled by the Territory</w:t>
      </w:r>
      <w:r w:rsidR="00D4156A">
        <w:t xml:space="preserve"> Government</w:t>
      </w:r>
      <w:r w:rsidRPr="00BC4B12">
        <w:t>. As a result, when a department passes on grants to a portfolio entity on behalf of the Territory</w:t>
      </w:r>
      <w:r w:rsidR="00D4156A">
        <w:t xml:space="preserve"> Government</w:t>
      </w:r>
      <w:r w:rsidRPr="00BC4B12">
        <w:t>, it will be considered to be a related party transaction of the entity. AASB 124 provides a partial exemption</w:t>
      </w:r>
      <w:r>
        <w:t xml:space="preserve"> from detailed disclosures under AASB 124</w:t>
      </w:r>
      <w:r w:rsidRPr="00BC4B12">
        <w:t xml:space="preserve"> for transactions between government-related entities. </w:t>
      </w:r>
    </w:p>
    <w:p w14:paraId="468C539F" w14:textId="1F899622" w:rsidR="00B756F4" w:rsidRPr="00BC4B12" w:rsidRDefault="00B756F4" w:rsidP="00EA6C3B">
      <w:pPr>
        <w:pStyle w:val="ListParagraph"/>
      </w:pPr>
      <w:r w:rsidRPr="00BC4B12">
        <w:t>However, the department and its portfolio agencies are still required to disclose the nature and amount of the individual transaction if the transaction is significan</w:t>
      </w:r>
      <w:r>
        <w:t>t. In cases where transfers</w:t>
      </w:r>
      <w:r w:rsidRPr="00BC4B12">
        <w:t xml:space="preserve"> are collectively but not individually significant, a qualitative or quantitative indication of the extent of the grants transferred will be required. </w:t>
      </w:r>
      <w:r w:rsidR="0056024D" w:rsidRPr="00BC4B12">
        <w:t xml:space="preserve">Agencies, however, should have procedures for identifying GRE transactions that are significant because they are not </w:t>
      </w:r>
      <w:r w:rsidR="0056024D">
        <w:t>the usual core business transactions the entity has</w:t>
      </w:r>
      <w:r w:rsidR="0056024D" w:rsidRPr="00BC4B12">
        <w:t>, or are otherwise ind</w:t>
      </w:r>
      <w:r w:rsidR="0056024D">
        <w:t xml:space="preserve">ividually significant, and </w:t>
      </w:r>
      <w:r w:rsidR="0056024D" w:rsidRPr="00BC4B12">
        <w:t xml:space="preserve">therefore </w:t>
      </w:r>
      <w:r w:rsidR="00670237" w:rsidRPr="00BC4B12">
        <w:t xml:space="preserve">may </w:t>
      </w:r>
      <w:r w:rsidR="0056024D" w:rsidRPr="00BC4B12">
        <w:t>require separate disclosure.</w:t>
      </w:r>
    </w:p>
    <w:p w14:paraId="1070C671" w14:textId="7C515EE1" w:rsidR="00B756F4" w:rsidRPr="00BC4B12" w:rsidRDefault="00B756F4" w:rsidP="00EA6C3B">
      <w:pPr>
        <w:pStyle w:val="ListParagraph"/>
        <w:rPr>
          <w:i/>
        </w:rPr>
      </w:pPr>
      <w:r w:rsidRPr="00BC4B12">
        <w:t xml:space="preserve">Where GRE transactions are in the ordinary course of business of the agency, a qualitative description of the broad types of transactions is likely to suffice. For example, providing training services, where these are the agency’s core services. An illustrative example of the disclosures will be included as part of the </w:t>
      </w:r>
      <w:r w:rsidRPr="00E83A6B">
        <w:t>2016-17 Agency Proforma Financial Statements.</w:t>
      </w:r>
    </w:p>
    <w:p w14:paraId="52107C49" w14:textId="43765C38" w:rsidR="00B756F4" w:rsidRPr="00BC4B12" w:rsidRDefault="00B756F4" w:rsidP="00EA6C3B">
      <w:pPr>
        <w:pStyle w:val="ListNumber"/>
        <w:rPr>
          <w:lang w:eastAsia="en-AU"/>
        </w:rPr>
      </w:pPr>
      <w:r w:rsidRPr="00BC4B12">
        <w:rPr>
          <w:lang w:eastAsia="en-AU"/>
        </w:rPr>
        <w:t>Should the standard indemnity policy provided to members of the</w:t>
      </w:r>
      <w:r>
        <w:rPr>
          <w:lang w:eastAsia="en-AU"/>
        </w:rPr>
        <w:t xml:space="preserve"> governing board </w:t>
      </w:r>
      <w:r w:rsidRPr="00BC4B12">
        <w:rPr>
          <w:lang w:eastAsia="en-AU"/>
        </w:rPr>
        <w:t xml:space="preserve">of a public sector agency be declared by KMP as related party transaction? </w:t>
      </w:r>
    </w:p>
    <w:p w14:paraId="191E7A43" w14:textId="399F43AE" w:rsidR="00B756F4" w:rsidRPr="00BC4B12" w:rsidRDefault="00B756F4" w:rsidP="00EA6C3B">
      <w:pPr>
        <w:pStyle w:val="ListParagraph"/>
        <w:rPr>
          <w:rFonts w:eastAsiaTheme="minorHAnsi"/>
        </w:rPr>
      </w:pPr>
      <w:r w:rsidRPr="00BC4B12">
        <w:rPr>
          <w:rFonts w:eastAsiaTheme="minorHAnsi"/>
        </w:rPr>
        <w:t>The indemnity provided to a KMP in their capacity as an employee should be excluded from declaration. A general disclosure statement in the entity’s financial statements should be included that indicates the</w:t>
      </w:r>
      <w:r>
        <w:rPr>
          <w:rFonts w:eastAsiaTheme="minorHAnsi"/>
        </w:rPr>
        <w:t xml:space="preserve"> members of governing boards</w:t>
      </w:r>
      <w:r w:rsidR="00670237">
        <w:rPr>
          <w:rFonts w:eastAsiaTheme="minorHAnsi"/>
        </w:rPr>
        <w:t xml:space="preserve"> and </w:t>
      </w:r>
      <w:r>
        <w:rPr>
          <w:rFonts w:eastAsiaTheme="minorHAnsi"/>
        </w:rPr>
        <w:t>committees</w:t>
      </w:r>
      <w:r w:rsidRPr="00BC4B12">
        <w:rPr>
          <w:rFonts w:eastAsiaTheme="minorHAnsi"/>
        </w:rPr>
        <w:t xml:space="preserve"> are indemnified in th</w:t>
      </w:r>
      <w:r>
        <w:rPr>
          <w:rFonts w:eastAsiaTheme="minorHAnsi"/>
        </w:rPr>
        <w:t>e normal course of their role as a board member</w:t>
      </w:r>
      <w:r w:rsidRPr="00BC4B12">
        <w:rPr>
          <w:rFonts w:eastAsiaTheme="minorHAnsi"/>
        </w:rPr>
        <w:t xml:space="preserve"> </w:t>
      </w:r>
      <w:r>
        <w:rPr>
          <w:rFonts w:eastAsiaTheme="minorHAnsi"/>
        </w:rPr>
        <w:t xml:space="preserve">in the </w:t>
      </w:r>
      <w:r w:rsidRPr="00BC4B12">
        <w:rPr>
          <w:rFonts w:eastAsiaTheme="minorHAnsi"/>
        </w:rPr>
        <w:t xml:space="preserve">agency. </w:t>
      </w:r>
    </w:p>
    <w:p w14:paraId="41450E18" w14:textId="168EE21D" w:rsidR="00B756F4" w:rsidRPr="00BC4B12" w:rsidRDefault="00B756F4" w:rsidP="00EA6C3B">
      <w:pPr>
        <w:pStyle w:val="ListParagraph"/>
      </w:pPr>
      <w:r w:rsidRPr="00BC4B12">
        <w:t xml:space="preserve">However, where the entity provides a guarantee </w:t>
      </w:r>
      <w:r w:rsidR="00C33619">
        <w:t>to</w:t>
      </w:r>
      <w:r w:rsidRPr="00BC4B12">
        <w:t xml:space="preserve"> a related party of a KMP, the KMP will need to declare information of the guarantee </w:t>
      </w:r>
      <w:r>
        <w:t>in their declaration form</w:t>
      </w:r>
      <w:r w:rsidRPr="00BC4B12">
        <w:t>, and the entity will need to assess whether specific or separate disclosure will be required in the entity’s financial statements.</w:t>
      </w:r>
    </w:p>
    <w:p w14:paraId="43E7D5D8" w14:textId="02680C19" w:rsidR="007C3506" w:rsidRPr="00046CF1" w:rsidRDefault="007C3506" w:rsidP="00E83A6B">
      <w:pPr>
        <w:pStyle w:val="ListNumber"/>
      </w:pPr>
      <w:r w:rsidRPr="00046CF1">
        <w:t>What is required from outgoing minister</w:t>
      </w:r>
      <w:r>
        <w:t>s</w:t>
      </w:r>
      <w:r w:rsidRPr="00046CF1">
        <w:t xml:space="preserve"> or non-minster KMP on their departure?</w:t>
      </w:r>
    </w:p>
    <w:p w14:paraId="30039F14" w14:textId="77777777" w:rsidR="007C3506" w:rsidRDefault="007C3506" w:rsidP="007C3506">
      <w:pPr>
        <w:rPr>
          <w:rFonts w:cs="Arial"/>
        </w:rPr>
      </w:pPr>
      <w:r w:rsidRPr="00046CF1">
        <w:rPr>
          <w:rFonts w:cs="Arial"/>
        </w:rPr>
        <w:t xml:space="preserve">An outgoing minister or non-minister KMP </w:t>
      </w:r>
      <w:r>
        <w:rPr>
          <w:rFonts w:cs="Arial"/>
        </w:rPr>
        <w:t xml:space="preserve">will be asked to complete a </w:t>
      </w:r>
      <w:r w:rsidRPr="00046CF1">
        <w:rPr>
          <w:rFonts w:cs="Arial"/>
        </w:rPr>
        <w:t>final declaration form</w:t>
      </w:r>
      <w:r>
        <w:rPr>
          <w:rFonts w:cs="Arial"/>
        </w:rPr>
        <w:t>, detailing all related party transactions the KMP, his or her close family members and or entities controlled or jointly controlled by the KMP or their close family members from 1 July XX to the date of the KMP’s departure.</w:t>
      </w:r>
    </w:p>
    <w:p w14:paraId="15FA9EE1" w14:textId="373B6D08" w:rsidR="007C3506" w:rsidRDefault="007C3506" w:rsidP="007C3506">
      <w:pPr>
        <w:rPr>
          <w:rFonts w:cs="Arial"/>
        </w:rPr>
      </w:pPr>
      <w:r w:rsidRPr="00046CF1">
        <w:rPr>
          <w:rFonts w:cs="Arial"/>
        </w:rPr>
        <w:t xml:space="preserve">For ministers, </w:t>
      </w:r>
      <w:r>
        <w:rPr>
          <w:rFonts w:cs="Arial"/>
        </w:rPr>
        <w:t>DCM</w:t>
      </w:r>
      <w:r w:rsidRPr="00046CF1">
        <w:rPr>
          <w:rFonts w:cs="Arial"/>
        </w:rPr>
        <w:t xml:space="preserve"> </w:t>
      </w:r>
      <w:r>
        <w:rPr>
          <w:rFonts w:cs="Arial"/>
        </w:rPr>
        <w:t>will ask the minister to fill out a final declaration form to provide related party information and will coordinate the collection of these documents at the departure of a minister. Information will then be passed on to DTF for the preparation of financial statement disclosures.</w:t>
      </w:r>
    </w:p>
    <w:p w14:paraId="4AADE4B2" w14:textId="2DFDA086" w:rsidR="007C3506" w:rsidRPr="00046CF1" w:rsidRDefault="007C3506" w:rsidP="007C3506">
      <w:pPr>
        <w:rPr>
          <w:rFonts w:cs="Arial"/>
        </w:rPr>
      </w:pPr>
      <w:r w:rsidRPr="00046CF1">
        <w:rPr>
          <w:rFonts w:cs="Arial"/>
        </w:rPr>
        <w:t>For other non-minister KMP, the relevant</w:t>
      </w:r>
      <w:r>
        <w:rPr>
          <w:rFonts w:cs="Arial"/>
        </w:rPr>
        <w:t xml:space="preserve"> agency</w:t>
      </w:r>
      <w:r w:rsidRPr="00046CF1">
        <w:rPr>
          <w:rFonts w:cs="Arial"/>
        </w:rPr>
        <w:t xml:space="preserve"> will send out a similar request seeking KMP </w:t>
      </w:r>
      <w:r>
        <w:rPr>
          <w:rFonts w:cs="Arial"/>
        </w:rPr>
        <w:t xml:space="preserve">to </w:t>
      </w:r>
      <w:r w:rsidRPr="00046CF1">
        <w:rPr>
          <w:rFonts w:cs="Arial"/>
        </w:rPr>
        <w:t>provide a final declaration form on t</w:t>
      </w:r>
      <w:r>
        <w:rPr>
          <w:rFonts w:cs="Arial"/>
        </w:rPr>
        <w:t>heir related party transactions from 1 July XX to the date of the KMP departure.</w:t>
      </w:r>
    </w:p>
    <w:p w14:paraId="0C2B5B08" w14:textId="2DF43597" w:rsidR="007C3506" w:rsidRDefault="007C3506" w:rsidP="007C3506">
      <w:pPr>
        <w:rPr>
          <w:rFonts w:cs="Arial"/>
        </w:rPr>
      </w:pPr>
      <w:r w:rsidRPr="00046CF1">
        <w:rPr>
          <w:rFonts w:cs="Arial"/>
        </w:rPr>
        <w:t xml:space="preserve">A copy of a template letter </w:t>
      </w:r>
      <w:r w:rsidR="00670237">
        <w:rPr>
          <w:rFonts w:cs="Arial"/>
        </w:rPr>
        <w:t>that</w:t>
      </w:r>
      <w:r w:rsidRPr="00046CF1">
        <w:rPr>
          <w:rFonts w:cs="Arial"/>
        </w:rPr>
        <w:t xml:space="preserve"> can be used to request this information is provided as </w:t>
      </w:r>
      <w:r>
        <w:rPr>
          <w:rFonts w:cs="Arial"/>
        </w:rPr>
        <w:t>A</w:t>
      </w:r>
      <w:r w:rsidRPr="00046CF1">
        <w:rPr>
          <w:rFonts w:cs="Arial"/>
        </w:rPr>
        <w:t>ppendix</w:t>
      </w:r>
      <w:r>
        <w:rPr>
          <w:rFonts w:cs="Arial"/>
        </w:rPr>
        <w:t> </w:t>
      </w:r>
      <w:r w:rsidR="008646B2">
        <w:rPr>
          <w:rFonts w:cs="Arial"/>
        </w:rPr>
        <w:t>E</w:t>
      </w:r>
      <w:r w:rsidRPr="00046CF1">
        <w:rPr>
          <w:rFonts w:cs="Arial"/>
        </w:rPr>
        <w:t xml:space="preserve"> in the Related Party Disclosures Guidelines for Agencies.</w:t>
      </w:r>
    </w:p>
    <w:p w14:paraId="3D8B53E4" w14:textId="38886273" w:rsidR="00182592" w:rsidRDefault="00182592" w:rsidP="00E83A6B">
      <w:pPr>
        <w:pStyle w:val="ListNumber"/>
      </w:pPr>
      <w:r w:rsidRPr="003712A5">
        <w:t xml:space="preserve">Is the </w:t>
      </w:r>
      <w:r w:rsidR="00E921A6" w:rsidRPr="00E83A6B">
        <w:t xml:space="preserve">lease </w:t>
      </w:r>
      <w:r w:rsidRPr="00E83A6B">
        <w:t xml:space="preserve">of your </w:t>
      </w:r>
      <w:r w:rsidR="00E921A6">
        <w:t>rental property</w:t>
      </w:r>
      <w:r w:rsidRPr="003712A5">
        <w:t xml:space="preserve"> to a Territory controlled </w:t>
      </w:r>
      <w:r>
        <w:t xml:space="preserve">entity </w:t>
      </w:r>
      <w:r w:rsidRPr="003712A5">
        <w:t xml:space="preserve">considered as a declarable related party </w:t>
      </w:r>
      <w:r w:rsidRPr="00E83A6B">
        <w:t>transaction?</w:t>
      </w:r>
    </w:p>
    <w:p w14:paraId="6335A7AC" w14:textId="1123F791" w:rsidR="00E921A6" w:rsidRDefault="00182592">
      <w:pPr>
        <w:rPr>
          <w:rFonts w:cs="Arial"/>
        </w:rPr>
      </w:pPr>
      <w:r w:rsidRPr="003712A5">
        <w:rPr>
          <w:rFonts w:cs="Arial"/>
        </w:rPr>
        <w:t xml:space="preserve">The </w:t>
      </w:r>
      <w:r w:rsidR="00E921A6">
        <w:rPr>
          <w:rFonts w:cs="Arial"/>
        </w:rPr>
        <w:t xml:space="preserve">lease </w:t>
      </w:r>
      <w:r w:rsidRPr="003712A5">
        <w:rPr>
          <w:rFonts w:cs="Arial"/>
        </w:rPr>
        <w:t>of a</w:t>
      </w:r>
      <w:r>
        <w:rPr>
          <w:rFonts w:cs="Arial"/>
        </w:rPr>
        <w:t xml:space="preserve"> </w:t>
      </w:r>
      <w:r w:rsidR="00E921A6">
        <w:rPr>
          <w:rFonts w:cs="Arial"/>
        </w:rPr>
        <w:t xml:space="preserve">rental </w:t>
      </w:r>
      <w:r>
        <w:rPr>
          <w:rFonts w:cs="Arial"/>
        </w:rPr>
        <w:t xml:space="preserve">property </w:t>
      </w:r>
      <w:r w:rsidRPr="003712A5">
        <w:rPr>
          <w:rFonts w:cs="Arial"/>
        </w:rPr>
        <w:t>owned by a KMP</w:t>
      </w:r>
      <w:r w:rsidRPr="00E83A6B">
        <w:rPr>
          <w:rFonts w:cs="Arial"/>
        </w:rPr>
        <w:t>, KMP’s close family member or entities controlled or jointly controlled by a KMP or the</w:t>
      </w:r>
      <w:r w:rsidR="00EB6446">
        <w:rPr>
          <w:rFonts w:cs="Arial"/>
        </w:rPr>
        <w:t>ir close family member</w:t>
      </w:r>
      <w:r w:rsidRPr="003712A5">
        <w:rPr>
          <w:rFonts w:cs="Arial"/>
        </w:rPr>
        <w:t xml:space="preserve"> is considered a declarable related party transacti</w:t>
      </w:r>
      <w:r w:rsidR="005B640B">
        <w:rPr>
          <w:rFonts w:cs="Arial"/>
        </w:rPr>
        <w:t>on</w:t>
      </w:r>
      <w:r w:rsidR="00EB6446">
        <w:rPr>
          <w:rFonts w:cs="Arial"/>
        </w:rPr>
        <w:t>.  As such KMP should declare transactions involving the lease of a property to</w:t>
      </w:r>
      <w:r w:rsidR="002B7CBC">
        <w:rPr>
          <w:rFonts w:cs="Arial"/>
        </w:rPr>
        <w:t xml:space="preserve"> the KMP’s entity (for non-minister KMP)</w:t>
      </w:r>
      <w:r w:rsidR="00EB6446">
        <w:rPr>
          <w:rFonts w:cs="Arial"/>
        </w:rPr>
        <w:t xml:space="preserve"> </w:t>
      </w:r>
      <w:r w:rsidR="009A7DF7">
        <w:rPr>
          <w:rFonts w:cs="Arial"/>
        </w:rPr>
        <w:t xml:space="preserve">or </w:t>
      </w:r>
      <w:r w:rsidR="00EB6446">
        <w:rPr>
          <w:rFonts w:cs="Arial"/>
        </w:rPr>
        <w:t xml:space="preserve">any Territory controlled entity (in the case of </w:t>
      </w:r>
      <w:r w:rsidR="00E83A6B">
        <w:rPr>
          <w:rFonts w:cs="Arial"/>
        </w:rPr>
        <w:t>ministers</w:t>
      </w:r>
      <w:r w:rsidR="009A7DF7">
        <w:rPr>
          <w:rFonts w:cs="Arial"/>
        </w:rPr>
        <w:t>)</w:t>
      </w:r>
      <w:r w:rsidR="00EB6446">
        <w:rPr>
          <w:rFonts w:cs="Arial"/>
        </w:rPr>
        <w:t>.</w:t>
      </w:r>
      <w:r w:rsidR="00E921A6">
        <w:rPr>
          <w:rFonts w:cs="Arial"/>
        </w:rPr>
        <w:t xml:space="preserve"> </w:t>
      </w:r>
    </w:p>
    <w:p w14:paraId="1D1CE8F9" w14:textId="77777777" w:rsidR="00B30A1E" w:rsidRDefault="00B756F4" w:rsidP="00B30A1E">
      <w:pPr>
        <w:pStyle w:val="ListNumber"/>
        <w:rPr>
          <w:lang w:eastAsia="en-AU"/>
        </w:rPr>
      </w:pPr>
      <w:r w:rsidRPr="00F7063C">
        <w:rPr>
          <w:lang w:eastAsia="en-AU"/>
        </w:rPr>
        <w:t>Acronyms</w:t>
      </w:r>
    </w:p>
    <w:p w14:paraId="3A1B9877" w14:textId="6B701F6E" w:rsidR="00B30A1E" w:rsidRDefault="00B30A1E" w:rsidP="00E83A6B">
      <w:pPr>
        <w:pStyle w:val="ListParagraph"/>
        <w:tabs>
          <w:tab w:val="left" w:pos="851"/>
        </w:tabs>
        <w:rPr>
          <w:rFonts w:eastAsiaTheme="minorHAnsi"/>
        </w:rPr>
      </w:pPr>
      <w:r>
        <w:rPr>
          <w:rFonts w:eastAsiaTheme="minorHAnsi"/>
        </w:rPr>
        <w:t>DOH</w:t>
      </w:r>
      <w:r>
        <w:rPr>
          <w:rFonts w:eastAsiaTheme="minorHAnsi"/>
        </w:rPr>
        <w:tab/>
        <w:t>Department of Health</w:t>
      </w:r>
    </w:p>
    <w:p w14:paraId="3FE6B548" w14:textId="10C56526" w:rsidR="00B30A1E" w:rsidRDefault="00B30A1E" w:rsidP="00B30A1E">
      <w:pPr>
        <w:pStyle w:val="ListParagraph"/>
        <w:tabs>
          <w:tab w:val="left" w:pos="851"/>
        </w:tabs>
        <w:rPr>
          <w:rFonts w:eastAsiaTheme="minorHAnsi"/>
        </w:rPr>
      </w:pPr>
      <w:r>
        <w:rPr>
          <w:rFonts w:eastAsiaTheme="minorHAnsi"/>
        </w:rPr>
        <w:t>DCM</w:t>
      </w:r>
      <w:r>
        <w:rPr>
          <w:rFonts w:eastAsiaTheme="minorHAnsi"/>
        </w:rPr>
        <w:tab/>
        <w:t>Department of the Chief Minister</w:t>
      </w:r>
    </w:p>
    <w:p w14:paraId="36E8DDF0" w14:textId="77777777" w:rsidR="00B30A1E" w:rsidRDefault="00B30A1E" w:rsidP="00E83A6B">
      <w:pPr>
        <w:pStyle w:val="ListParagraph"/>
        <w:tabs>
          <w:tab w:val="left" w:pos="851"/>
        </w:tabs>
        <w:rPr>
          <w:lang w:eastAsia="en-AU"/>
        </w:rPr>
      </w:pPr>
      <w:r>
        <w:rPr>
          <w:rFonts w:eastAsiaTheme="minorHAnsi"/>
        </w:rPr>
        <w:t>DTC</w:t>
      </w:r>
      <w:r>
        <w:rPr>
          <w:rFonts w:eastAsiaTheme="minorHAnsi"/>
        </w:rPr>
        <w:tab/>
      </w:r>
      <w:r w:rsidRPr="006907B1">
        <w:rPr>
          <w:rFonts w:eastAsiaTheme="minorHAnsi"/>
        </w:rPr>
        <w:t>Departm</w:t>
      </w:r>
      <w:r>
        <w:rPr>
          <w:rFonts w:eastAsiaTheme="minorHAnsi"/>
        </w:rPr>
        <w:t xml:space="preserve">ent of Tourism </w:t>
      </w:r>
      <w:r w:rsidRPr="00B30A1E">
        <w:t>and</w:t>
      </w:r>
      <w:r>
        <w:rPr>
          <w:rFonts w:eastAsiaTheme="minorHAnsi"/>
        </w:rPr>
        <w:t xml:space="preserve"> Culture</w:t>
      </w:r>
    </w:p>
    <w:p w14:paraId="58E8D19B" w14:textId="1E9719E1" w:rsidR="00B30A1E" w:rsidRDefault="00B30A1E" w:rsidP="00B30A1E">
      <w:pPr>
        <w:pStyle w:val="ListParagraph"/>
        <w:tabs>
          <w:tab w:val="left" w:pos="851"/>
        </w:tabs>
        <w:rPr>
          <w:rFonts w:eastAsiaTheme="minorHAnsi"/>
        </w:rPr>
      </w:pPr>
      <w:r>
        <w:rPr>
          <w:rFonts w:eastAsiaTheme="minorHAnsi"/>
        </w:rPr>
        <w:t>DTF</w:t>
      </w:r>
      <w:r>
        <w:rPr>
          <w:rFonts w:eastAsiaTheme="minorHAnsi"/>
        </w:rPr>
        <w:tab/>
        <w:t>Department of Treasury and Finance</w:t>
      </w:r>
    </w:p>
    <w:p w14:paraId="3CE39FB3" w14:textId="03726322" w:rsidR="00B30A1E" w:rsidRPr="00B30A1E" w:rsidRDefault="00B30A1E" w:rsidP="00B30A1E">
      <w:pPr>
        <w:pStyle w:val="ListParagraph"/>
        <w:tabs>
          <w:tab w:val="left" w:pos="851"/>
        </w:tabs>
        <w:rPr>
          <w:rFonts w:eastAsia="Calibri"/>
          <w:lang w:eastAsia="en-AU"/>
        </w:rPr>
      </w:pPr>
      <w:r>
        <w:rPr>
          <w:rFonts w:eastAsiaTheme="minorHAnsi"/>
        </w:rPr>
        <w:t>GRE</w:t>
      </w:r>
      <w:r>
        <w:rPr>
          <w:rFonts w:eastAsiaTheme="minorHAnsi"/>
        </w:rPr>
        <w:tab/>
        <w:t>Government-related entities</w:t>
      </w:r>
    </w:p>
    <w:p w14:paraId="27936F52" w14:textId="0CB8B15C" w:rsidR="00B756F4" w:rsidRDefault="00B756F4" w:rsidP="00B30A1E">
      <w:pPr>
        <w:pStyle w:val="ListParagraph"/>
        <w:tabs>
          <w:tab w:val="left" w:pos="851"/>
        </w:tabs>
      </w:pPr>
      <w:r>
        <w:t>KMP</w:t>
      </w:r>
      <w:r w:rsidR="00B30A1E">
        <w:tab/>
      </w:r>
      <w:r>
        <w:t>Key Management Personnel</w:t>
      </w:r>
    </w:p>
    <w:p w14:paraId="55983ACB" w14:textId="43361019" w:rsidR="00342035" w:rsidRDefault="00B756F4" w:rsidP="00EA6C3B">
      <w:pPr>
        <w:pStyle w:val="ListParagraph"/>
      </w:pPr>
      <w:r>
        <w:t>FMA</w:t>
      </w:r>
      <w:r w:rsidR="00B30A1E">
        <w:tab/>
      </w:r>
      <w:r w:rsidR="00670237">
        <w:tab/>
      </w:r>
      <w:r w:rsidRPr="00F7063C">
        <w:rPr>
          <w:i/>
        </w:rPr>
        <w:t>Financial Management Act</w:t>
      </w:r>
    </w:p>
    <w:sectPr w:rsidR="00342035" w:rsidSect="00705C9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F1DB9" w14:textId="77777777" w:rsidR="001D2CB0" w:rsidRDefault="001D2CB0" w:rsidP="007332FF">
      <w:r>
        <w:separator/>
      </w:r>
    </w:p>
  </w:endnote>
  <w:endnote w:type="continuationSeparator" w:id="0">
    <w:p w14:paraId="3D49B21F" w14:textId="77777777" w:rsidR="001D2CB0" w:rsidRDefault="001D2CB0"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MT Std Light">
    <w:panose1 w:val="00000000000000000000"/>
    <w:charset w:val="00"/>
    <w:family w:val="swiss"/>
    <w:notTrueType/>
    <w:pitch w:val="variable"/>
    <w:sig w:usb0="800000AF" w:usb1="4000204A" w:usb2="00000000" w:usb3="00000000" w:csb0="00000001" w:csb1="00000000"/>
  </w:font>
  <w:font w:name="Arial MT Std Light Cond">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AF22" w14:textId="77777777" w:rsidR="00F444B5" w:rsidRDefault="00F444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D1035" w14:textId="77777777" w:rsidR="00A07490" w:rsidRPr="00AE306C" w:rsidRDefault="001E1234" w:rsidP="002926BC">
    <w:pPr>
      <w:tabs>
        <w:tab w:val="right" w:pos="10206"/>
      </w:tabs>
      <w:spacing w:after="120"/>
      <w:ind w:left="-567" w:right="-568"/>
      <w:rPr>
        <w:sz w:val="16"/>
        <w:szCs w:val="16"/>
      </w:rPr>
    </w:pPr>
    <w:r>
      <w:rPr>
        <w:sz w:val="16"/>
        <w:szCs w:val="16"/>
      </w:rPr>
      <w:pict w14:anchorId="6011ED22">
        <v:rect id="_x0000_i1025" style="width:481.9pt;height:.5pt;mso-position-vertical:absolute" o:hralign="center" o:hrstd="t" o:hrnoshade="t" o:hr="t" fillcolor="black [3213]" stroked="f"/>
      </w:pict>
    </w:r>
  </w:p>
  <w:p w14:paraId="553366F1" w14:textId="77777777" w:rsidR="00A07490" w:rsidRPr="004D1B76" w:rsidRDefault="00A07490"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5341F2">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5341F2">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1E1234">
      <w:rPr>
        <w:rStyle w:val="NTGFooter2deptpagenumChar"/>
        <w:rFonts w:eastAsia="Calibri"/>
        <w:noProof/>
      </w:rPr>
      <w:t>7</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1E1234">
      <w:rPr>
        <w:rStyle w:val="NTGFooter2deptpagenumChar"/>
        <w:rFonts w:eastAsia="Calibri"/>
        <w:noProof/>
      </w:rPr>
      <w:t>7</w:t>
    </w:r>
    <w:r w:rsidRPr="007B5DA2">
      <w:rPr>
        <w:rStyle w:val="NTGFooter2deptpagenumChar"/>
        <w:rFonts w:eastAsia="Calibri"/>
      </w:rPr>
      <w:fldChar w:fldCharType="end"/>
    </w:r>
  </w:p>
  <w:p w14:paraId="30011367" w14:textId="51B8742D" w:rsidR="00A07490" w:rsidRPr="007B5DA2" w:rsidRDefault="005341F2" w:rsidP="002926BC">
    <w:pPr>
      <w:pStyle w:val="NTGFooter2DateVersion"/>
      <w:tabs>
        <w:tab w:val="clear" w:pos="9639"/>
        <w:tab w:val="right" w:pos="10206"/>
      </w:tabs>
      <w:ind w:left="-567" w:right="-568"/>
      <w:rPr>
        <w:rStyle w:val="NTGFooter2deptpagenumChar"/>
        <w:rFonts w:eastAsia="Calibri"/>
      </w:rPr>
    </w:pPr>
    <w:r>
      <w:fldChar w:fldCharType="begin"/>
    </w:r>
    <w:r>
      <w:instrText xml:space="preserve"> DOCPROPERTY  DocumentDate  \* MERGEFORMAT </w:instrText>
    </w:r>
    <w:r>
      <w:fldChar w:fldCharType="separate"/>
    </w:r>
    <w:r>
      <w:t>3 August 2017</w:t>
    </w:r>
    <w:r>
      <w:fldChar w:fldCharType="end"/>
    </w:r>
    <w:r w:rsidR="00F444B5">
      <w:rPr>
        <w:rStyle w:val="NTGFooter1itemsChar"/>
      </w:rPr>
      <w:t xml:space="preserve">        </w:t>
    </w:r>
    <w:r w:rsidR="00003719">
      <w:rPr>
        <w:rStyle w:val="NTGFooter1itemsChar"/>
      </w:rPr>
      <w:t xml:space="preserve">Version </w:t>
    </w:r>
    <w:r>
      <w:rPr>
        <w:rStyle w:val="NTGFooter1itemsChar"/>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A07490" w:rsidRPr="00132658" w14:paraId="2522CB3B" w14:textId="77777777" w:rsidTr="007D4893">
      <w:trPr>
        <w:cantSplit/>
        <w:trHeight w:hRule="exact" w:val="1400"/>
        <w:tblHeader/>
      </w:trPr>
      <w:tc>
        <w:tcPr>
          <w:tcW w:w="8505" w:type="dxa"/>
          <w:vAlign w:val="center"/>
        </w:tcPr>
        <w:p w14:paraId="50524357" w14:textId="77777777" w:rsidR="00A07490" w:rsidRPr="00705C9D" w:rsidRDefault="00A07490"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5341F2">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5341F2">
            <w:rPr>
              <w:rStyle w:val="NTGFooterDepartmentNameChar"/>
            </w:rPr>
            <w:t>Treasury and Finance</w:t>
          </w:r>
          <w:r w:rsidRPr="00705C9D">
            <w:rPr>
              <w:rStyle w:val="NTGFooterDepartmentNameChar"/>
            </w:rPr>
            <w:fldChar w:fldCharType="end"/>
          </w:r>
        </w:p>
        <w:p w14:paraId="7EEE4215" w14:textId="3A49AE80" w:rsidR="00A07490" w:rsidRPr="007B5DA2" w:rsidRDefault="00A07490" w:rsidP="001B037B">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1E1234">
            <w:rPr>
              <w:noProof/>
            </w:rPr>
            <w:t>1</w:t>
          </w:r>
          <w:r w:rsidRPr="007B5DA2">
            <w:fldChar w:fldCharType="end"/>
          </w:r>
          <w:r w:rsidRPr="007B5DA2">
            <w:t xml:space="preserve"> of </w:t>
          </w:r>
          <w:r w:rsidR="005341F2">
            <w:fldChar w:fldCharType="begin"/>
          </w:r>
          <w:r w:rsidR="005341F2">
            <w:instrText xml:space="preserve"> NUMPAGES  \* Arabic  \* MERGEFORMAT </w:instrText>
          </w:r>
          <w:r w:rsidR="005341F2">
            <w:fldChar w:fldCharType="separate"/>
          </w:r>
          <w:r w:rsidR="001E1234">
            <w:rPr>
              <w:noProof/>
            </w:rPr>
            <w:t>7</w:t>
          </w:r>
          <w:r w:rsidR="005341F2">
            <w:rPr>
              <w:noProof/>
            </w:rPr>
            <w:fldChar w:fldCharType="end"/>
          </w:r>
          <w:r w:rsidRPr="007B5DA2">
            <w:tab/>
          </w:r>
          <w:r w:rsidRPr="007B5DA2">
            <w:rPr>
              <w:rStyle w:val="NTGFooter1itemsChar"/>
            </w:rPr>
            <w:fldChar w:fldCharType="begin"/>
          </w:r>
          <w:r w:rsidRPr="007B5DA2">
            <w:rPr>
              <w:rStyle w:val="NTGFooter1itemsChar"/>
            </w:rPr>
            <w:instrText xml:space="preserve"> DOCPROPERTY  DocumentDate  \* MERGEFORMAT </w:instrText>
          </w:r>
          <w:r w:rsidRPr="007B5DA2">
            <w:rPr>
              <w:rStyle w:val="NTGFooter1itemsChar"/>
            </w:rPr>
            <w:fldChar w:fldCharType="separate"/>
          </w:r>
          <w:r w:rsidR="005341F2">
            <w:rPr>
              <w:rStyle w:val="NTGFooter1itemsChar"/>
            </w:rPr>
            <w:t>3 August 2017</w:t>
          </w:r>
          <w:r w:rsidRPr="007B5DA2">
            <w:rPr>
              <w:rStyle w:val="NTGFooter1itemsChar"/>
            </w:rPr>
            <w:fldChar w:fldCharType="end"/>
          </w:r>
          <w:r w:rsidR="001B037B">
            <w:rPr>
              <w:rStyle w:val="NTGFooter1itemsChar"/>
            </w:rPr>
            <w:t xml:space="preserve">        </w:t>
          </w:r>
          <w:r w:rsidR="00E004F6">
            <w:rPr>
              <w:rStyle w:val="NTGFooter1itemsChar"/>
            </w:rPr>
            <w:t xml:space="preserve"> </w:t>
          </w:r>
          <w:r w:rsidRPr="007B5DA2">
            <w:rPr>
              <w:rStyle w:val="NTGFooter1itemsChar"/>
            </w:rPr>
            <w:fldChar w:fldCharType="begin"/>
          </w:r>
          <w:r w:rsidRPr="007B5DA2">
            <w:rPr>
              <w:rStyle w:val="NTGFooter1itemsChar"/>
            </w:rPr>
            <w:instrText xml:space="preserve"> DOCPROPERTY  VersionNo  \* MERGEFORMAT </w:instrText>
          </w:r>
          <w:r w:rsidRPr="007B5DA2">
            <w:rPr>
              <w:rStyle w:val="NTGFooter1itemsChar"/>
            </w:rPr>
            <w:fldChar w:fldCharType="separate"/>
          </w:r>
          <w:r w:rsidR="005341F2">
            <w:rPr>
              <w:rStyle w:val="NTGFooter1itemsChar"/>
            </w:rPr>
            <w:t>Version 1</w:t>
          </w:r>
          <w:r w:rsidRPr="007B5DA2">
            <w:rPr>
              <w:rStyle w:val="NTGFooter1itemsChar"/>
            </w:rPr>
            <w:fldChar w:fldCharType="end"/>
          </w:r>
        </w:p>
      </w:tc>
      <w:tc>
        <w:tcPr>
          <w:tcW w:w="2268" w:type="dxa"/>
          <w:vAlign w:val="center"/>
        </w:tcPr>
        <w:p w14:paraId="156A2BE6" w14:textId="77777777" w:rsidR="00A07490" w:rsidRPr="001E14EB" w:rsidRDefault="00A07490" w:rsidP="00543BD1">
          <w:pPr>
            <w:spacing w:after="0"/>
            <w:jc w:val="right"/>
          </w:pPr>
          <w:r w:rsidRPr="00132658">
            <w:rPr>
              <w:noProof/>
              <w:lang w:eastAsia="en-AU"/>
            </w:rPr>
            <w:drawing>
              <wp:inline distT="0" distB="0" distL="0" distR="0" wp14:anchorId="2AC30CEA" wp14:editId="17D34580">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42DB6482" w14:textId="77777777" w:rsidR="00A07490" w:rsidRPr="00543BD1" w:rsidRDefault="00A07490"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536D4" w14:textId="77777777" w:rsidR="001D2CB0" w:rsidRDefault="001D2CB0" w:rsidP="007332FF">
      <w:r>
        <w:separator/>
      </w:r>
    </w:p>
  </w:footnote>
  <w:footnote w:type="continuationSeparator" w:id="0">
    <w:p w14:paraId="68D9DBFA" w14:textId="77777777" w:rsidR="001D2CB0" w:rsidRDefault="001D2CB0"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F7418" w14:textId="77777777" w:rsidR="00F444B5" w:rsidRDefault="00F444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4EED9" w14:textId="153017F9" w:rsidR="00A07490" w:rsidRPr="001E1234" w:rsidRDefault="00FA5082" w:rsidP="001E1234">
    <w:pPr>
      <w:pStyle w:val="Heading1"/>
    </w:pPr>
    <w:r w:rsidRPr="00637275">
      <w:t>Frequently Asked Question</w:t>
    </w:r>
    <w:r w:rsidR="00637275">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7F5F1" w14:textId="1819C511" w:rsidR="00A07490" w:rsidRPr="00080D74" w:rsidRDefault="001E1234" w:rsidP="0050530C">
    <w:pPr>
      <w:pStyle w:val="Title"/>
    </w:pPr>
    <w:sdt>
      <w:sdtPr>
        <w:alias w:val="Title"/>
        <w:tag w:val=""/>
        <w:id w:val="1748683773"/>
        <w:dataBinding w:prefixMappings="xmlns:ns0='http://purl.org/dc/elements/1.1/' xmlns:ns1='http://schemas.openxmlformats.org/package/2006/metadata/core-properties' " w:xpath="/ns1:coreProperties[1]/ns0:title[1]" w:storeItemID="{6C3C8BC8-F283-45AE-878A-BAB7291924A1}"/>
        <w:text/>
      </w:sdtPr>
      <w:sdtEndPr/>
      <w:sdtContent>
        <w:r w:rsidR="00342035">
          <w:t>AASB 124 Related Party Disclosures</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5B75C5C"/>
    <w:multiLevelType w:val="hybridMultilevel"/>
    <w:tmpl w:val="007011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C03AEC"/>
    <w:multiLevelType w:val="multilevel"/>
    <w:tmpl w:val="BD7A8414"/>
    <w:name w:val="NTG Table Bullet List3322222"/>
    <w:numStyleLink w:val="NTGStandardList"/>
  </w:abstractNum>
  <w:abstractNum w:abstractNumId="3" w15:restartNumberingAfterBreak="0">
    <w:nsid w:val="068B22E4"/>
    <w:multiLevelType w:val="multilevel"/>
    <w:tmpl w:val="4E6AC8F6"/>
    <w:name w:val="NTG Table Bullet List33222222"/>
    <w:numStyleLink w:val="NTGStandardNumList"/>
  </w:abstractNum>
  <w:abstractNum w:abstractNumId="4" w15:restartNumberingAfterBreak="0">
    <w:nsid w:val="06DB268B"/>
    <w:multiLevelType w:val="multilevel"/>
    <w:tmpl w:val="BD7A8414"/>
    <w:name w:val="NTG Table Bullet List32223"/>
    <w:numStyleLink w:val="NTGStandardList"/>
  </w:abstractNum>
  <w:abstractNum w:abstractNumId="5" w15:restartNumberingAfterBreak="0">
    <w:nsid w:val="09CD3ABE"/>
    <w:multiLevelType w:val="multilevel"/>
    <w:tmpl w:val="0C78A7AC"/>
    <w:name w:val="NTG Table Bullet List332222"/>
    <w:numStyleLink w:val="NTGTableList"/>
  </w:abstractNum>
  <w:abstractNum w:abstractNumId="6" w15:restartNumberingAfterBreak="0">
    <w:nsid w:val="10111492"/>
    <w:multiLevelType w:val="multilevel"/>
    <w:tmpl w:val="0C78A7AC"/>
    <w:name w:val="NTG Table Bullet List332"/>
    <w:numStyleLink w:val="NTGTableList"/>
  </w:abstractNum>
  <w:abstractNum w:abstractNumId="7" w15:restartNumberingAfterBreak="0">
    <w:nsid w:val="135A2193"/>
    <w:multiLevelType w:val="hybridMultilevel"/>
    <w:tmpl w:val="485C8608"/>
    <w:lvl w:ilvl="0" w:tplc="3932873A">
      <w:start w:val="1"/>
      <w:numFmt w:val="decimal"/>
      <w:lvlText w:val="%1."/>
      <w:lvlJc w:val="left"/>
      <w:pPr>
        <w:ind w:left="360" w:hanging="360"/>
      </w:pPr>
      <w:rPr>
        <w:rFonts w:eastAsiaTheme="minorHAnsi" w:cs="Arial" w:hint="default"/>
        <w:color w:val="000000"/>
        <w:sz w:val="24"/>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5C55E97"/>
    <w:multiLevelType w:val="multilevel"/>
    <w:tmpl w:val="BD7A8414"/>
    <w:name w:val="NTG Table Bullet List332222222222222222"/>
    <w:numStyleLink w:val="NTGStandardList"/>
  </w:abstractNum>
  <w:abstractNum w:abstractNumId="9" w15:restartNumberingAfterBreak="0">
    <w:nsid w:val="176B0CE3"/>
    <w:multiLevelType w:val="multilevel"/>
    <w:tmpl w:val="39746A98"/>
    <w:name w:val="NTG Table Bullet List332222222222222"/>
    <w:numStyleLink w:val="NTGTableNumList"/>
  </w:abstractNum>
  <w:abstractNum w:abstractNumId="10" w15:restartNumberingAfterBreak="0">
    <w:nsid w:val="18AE0D72"/>
    <w:multiLevelType w:val="multilevel"/>
    <w:tmpl w:val="0C78A7AC"/>
    <w:name w:val="NTG Table Bullet List322"/>
    <w:numStyleLink w:val="NTGTableList"/>
  </w:abstractNum>
  <w:abstractNum w:abstractNumId="11" w15:restartNumberingAfterBreak="0">
    <w:nsid w:val="1BB400DD"/>
    <w:multiLevelType w:val="multilevel"/>
    <w:tmpl w:val="39746A98"/>
    <w:name w:val="NTG Table Bullet List33"/>
    <w:numStyleLink w:val="NTGTableNumList"/>
  </w:abstractNum>
  <w:abstractNum w:abstractNumId="12" w15:restartNumberingAfterBreak="0">
    <w:nsid w:val="1CFF291F"/>
    <w:multiLevelType w:val="multilevel"/>
    <w:tmpl w:val="39746A98"/>
    <w:name w:val="NTG Table Bullet List3222323"/>
    <w:numStyleLink w:val="NTGTableNumList"/>
  </w:abstractNum>
  <w:abstractNum w:abstractNumId="13" w15:restartNumberingAfterBreak="0">
    <w:nsid w:val="241D1D87"/>
    <w:multiLevelType w:val="multilevel"/>
    <w:tmpl w:val="0C78A7AC"/>
    <w:name w:val="NTG Table Bullet List32"/>
    <w:numStyleLink w:val="NTGTableList"/>
  </w:abstractNum>
  <w:abstractNum w:abstractNumId="14"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6345893"/>
    <w:multiLevelType w:val="multilevel"/>
    <w:tmpl w:val="4E6AC8F6"/>
    <w:name w:val="NTG Table Bullet List3322222222"/>
    <w:numStyleLink w:val="NTGStandardNumList"/>
  </w:abstractNum>
  <w:abstractNum w:abstractNumId="16" w15:restartNumberingAfterBreak="0">
    <w:nsid w:val="2EF077BC"/>
    <w:multiLevelType w:val="multilevel"/>
    <w:tmpl w:val="0C78A7AC"/>
    <w:name w:val="NTG Table Bullet List33222222222222222222"/>
    <w:numStyleLink w:val="NTGTableList"/>
  </w:abstractNum>
  <w:abstractNum w:abstractNumId="17"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8" w15:restartNumberingAfterBreak="0">
    <w:nsid w:val="418B29E3"/>
    <w:multiLevelType w:val="multilevel"/>
    <w:tmpl w:val="0C78A7AC"/>
    <w:name w:val="NTG Table Bullet List33222222222222"/>
    <w:numStyleLink w:val="NTGTableList"/>
  </w:abstractNum>
  <w:abstractNum w:abstractNumId="19" w15:restartNumberingAfterBreak="0">
    <w:nsid w:val="426F70CC"/>
    <w:multiLevelType w:val="multilevel"/>
    <w:tmpl w:val="39746A98"/>
    <w:name w:val="NTG Table Bullet List33222222222222222"/>
    <w:numStyleLink w:val="NTGTableNumList"/>
  </w:abstractNum>
  <w:abstractNum w:abstractNumId="20" w15:restartNumberingAfterBreak="0">
    <w:nsid w:val="4B8F005A"/>
    <w:multiLevelType w:val="multilevel"/>
    <w:tmpl w:val="4E6AC8F6"/>
    <w:numStyleLink w:val="NTGStandardNumList"/>
  </w:abstractNum>
  <w:abstractNum w:abstractNumId="21" w15:restartNumberingAfterBreak="0">
    <w:nsid w:val="4B9C702E"/>
    <w:multiLevelType w:val="multilevel"/>
    <w:tmpl w:val="BD7A8414"/>
    <w:name w:val="NTG Table Bullet List3222"/>
    <w:numStyleLink w:val="NTGStandardList"/>
  </w:abstractNum>
  <w:abstractNum w:abstractNumId="22" w15:restartNumberingAfterBreak="0">
    <w:nsid w:val="4BD43BC9"/>
    <w:multiLevelType w:val="hybridMultilevel"/>
    <w:tmpl w:val="76D40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D435BB4"/>
    <w:multiLevelType w:val="multilevel"/>
    <w:tmpl w:val="39746A98"/>
    <w:name w:val="NTG Table Bullet List3322"/>
    <w:numStyleLink w:val="NTGTableNumList"/>
  </w:abstractNum>
  <w:abstractNum w:abstractNumId="24"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5"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6" w15:restartNumberingAfterBreak="0">
    <w:nsid w:val="4E002A10"/>
    <w:multiLevelType w:val="multilevel"/>
    <w:tmpl w:val="39746A98"/>
    <w:name w:val="NTG Table Bullet List332222222"/>
    <w:numStyleLink w:val="NTGTableNumList"/>
  </w:abstractNum>
  <w:abstractNum w:abstractNumId="27" w15:restartNumberingAfterBreak="0">
    <w:nsid w:val="4E597CFE"/>
    <w:multiLevelType w:val="multilevel"/>
    <w:tmpl w:val="39746A98"/>
    <w:name w:val="NTG Table Bullet List33222222222"/>
    <w:numStyleLink w:val="NTGTableNumList"/>
  </w:abstractNum>
  <w:abstractNum w:abstractNumId="28" w15:restartNumberingAfterBreak="0">
    <w:nsid w:val="547B4964"/>
    <w:multiLevelType w:val="hybridMultilevel"/>
    <w:tmpl w:val="6186E5A6"/>
    <w:lvl w:ilvl="0" w:tplc="0C090017">
      <w:start w:val="1"/>
      <w:numFmt w:val="lowerLetter"/>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29"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0" w15:restartNumberingAfterBreak="0">
    <w:nsid w:val="573B315C"/>
    <w:multiLevelType w:val="multilevel"/>
    <w:tmpl w:val="39746A98"/>
    <w:name w:val="NTG Table Bullet List3222322"/>
    <w:numStyleLink w:val="NTGTableNumList"/>
  </w:abstractNum>
  <w:abstractNum w:abstractNumId="31" w15:restartNumberingAfterBreak="0">
    <w:nsid w:val="5B713B90"/>
    <w:multiLevelType w:val="multilevel"/>
    <w:tmpl w:val="4E6AC8F6"/>
    <w:numStyleLink w:val="NTGStandardNumList"/>
  </w:abstractNum>
  <w:abstractNum w:abstractNumId="32" w15:restartNumberingAfterBreak="0">
    <w:nsid w:val="5BCE2A25"/>
    <w:multiLevelType w:val="multilevel"/>
    <w:tmpl w:val="0C78A7AC"/>
    <w:name w:val="NTG Table Bullet List332222222222"/>
    <w:numStyleLink w:val="NTGTableList"/>
  </w:abstractNum>
  <w:abstractNum w:abstractNumId="33" w15:restartNumberingAfterBreak="0">
    <w:nsid w:val="5D042DCE"/>
    <w:multiLevelType w:val="multilevel"/>
    <w:tmpl w:val="4E6AC8F6"/>
    <w:numStyleLink w:val="NTGStandardNumList"/>
  </w:abstractNum>
  <w:abstractNum w:abstractNumId="34" w15:restartNumberingAfterBreak="0">
    <w:nsid w:val="606D0AB2"/>
    <w:multiLevelType w:val="multilevel"/>
    <w:tmpl w:val="4E6AC8F6"/>
    <w:numStyleLink w:val="NTGStandardNumList"/>
  </w:abstractNum>
  <w:abstractNum w:abstractNumId="35" w15:restartNumberingAfterBreak="0">
    <w:nsid w:val="61AD07BD"/>
    <w:multiLevelType w:val="multilevel"/>
    <w:tmpl w:val="4E6AC8F6"/>
    <w:numStyleLink w:val="NTGStandardNumList"/>
  </w:abstractNum>
  <w:abstractNum w:abstractNumId="36" w15:restartNumberingAfterBreak="0">
    <w:nsid w:val="65D566F7"/>
    <w:multiLevelType w:val="multilevel"/>
    <w:tmpl w:val="39746A98"/>
    <w:name w:val="NTG Table Bullet List3322222222222222"/>
    <w:numStyleLink w:val="NTGTableNumList"/>
  </w:abstractNum>
  <w:abstractNum w:abstractNumId="37" w15:restartNumberingAfterBreak="0">
    <w:nsid w:val="6CC62A3C"/>
    <w:multiLevelType w:val="multilevel"/>
    <w:tmpl w:val="39746A98"/>
    <w:name w:val="NTG Table Bullet List33222"/>
    <w:numStyleLink w:val="NTGTableNumList"/>
  </w:abstractNum>
  <w:abstractNum w:abstractNumId="38" w15:restartNumberingAfterBreak="0">
    <w:nsid w:val="70105C45"/>
    <w:multiLevelType w:val="multilevel"/>
    <w:tmpl w:val="39746A98"/>
    <w:name w:val="NTG Table Bullet List3322222222222"/>
    <w:numStyleLink w:val="NTGTableNumList"/>
  </w:abstractNum>
  <w:abstractNum w:abstractNumId="39" w15:restartNumberingAfterBreak="0">
    <w:nsid w:val="717E2CBC"/>
    <w:multiLevelType w:val="hybridMultilevel"/>
    <w:tmpl w:val="C7989CD8"/>
    <w:lvl w:ilvl="0" w:tplc="C0D2B9E2">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453664D"/>
    <w:multiLevelType w:val="multilevel"/>
    <w:tmpl w:val="0C78A7AC"/>
    <w:name w:val="NTG Table Bullet List3322222222222222222"/>
    <w:numStyleLink w:val="NTGTableList"/>
  </w:abstractNum>
  <w:abstractNum w:abstractNumId="41" w15:restartNumberingAfterBreak="0">
    <w:nsid w:val="750F0FA6"/>
    <w:multiLevelType w:val="hybridMultilevel"/>
    <w:tmpl w:val="1B340CF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EB00B54"/>
    <w:multiLevelType w:val="hybridMultilevel"/>
    <w:tmpl w:val="C0A86DA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4"/>
  </w:num>
  <w:num w:numId="2">
    <w:abstractNumId w:val="25"/>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34"/>
  </w:num>
  <w:num w:numId="8">
    <w:abstractNumId w:val="42"/>
  </w:num>
  <w:num w:numId="9">
    <w:abstractNumId w:val="0"/>
  </w:num>
  <w:num w:numId="10">
    <w:abstractNumId w:val="17"/>
  </w:num>
  <w:num w:numId="11">
    <w:abstractNumId w:val="15"/>
  </w:num>
  <w:num w:numId="12">
    <w:abstractNumId w:val="19"/>
  </w:num>
  <w:num w:numId="13">
    <w:abstractNumId w:val="8"/>
  </w:num>
  <w:num w:numId="14">
    <w:abstractNumId w:val="16"/>
  </w:num>
  <w:num w:numId="15">
    <w:abstractNumId w:val="3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num>
  <w:num w:numId="19">
    <w:abstractNumId w:val="43"/>
  </w:num>
  <w:num w:numId="20">
    <w:abstractNumId w:val="41"/>
  </w:num>
  <w:num w:numId="21">
    <w:abstractNumId w:val="1"/>
  </w:num>
  <w:num w:numId="22">
    <w:abstractNumId w:val="22"/>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9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9AE"/>
    <w:rsid w:val="00001DDF"/>
    <w:rsid w:val="0000322D"/>
    <w:rsid w:val="00003719"/>
    <w:rsid w:val="00010665"/>
    <w:rsid w:val="00020AC7"/>
    <w:rsid w:val="000236E5"/>
    <w:rsid w:val="00027DB8"/>
    <w:rsid w:val="00031A96"/>
    <w:rsid w:val="00040BF3"/>
    <w:rsid w:val="00046C59"/>
    <w:rsid w:val="00051362"/>
    <w:rsid w:val="00051F45"/>
    <w:rsid w:val="00056DEF"/>
    <w:rsid w:val="000720BE"/>
    <w:rsid w:val="0007259C"/>
    <w:rsid w:val="00080202"/>
    <w:rsid w:val="00080D74"/>
    <w:rsid w:val="00080DCD"/>
    <w:rsid w:val="00080E22"/>
    <w:rsid w:val="000840A3"/>
    <w:rsid w:val="00086A5F"/>
    <w:rsid w:val="000911EF"/>
    <w:rsid w:val="000962C5"/>
    <w:rsid w:val="000A559C"/>
    <w:rsid w:val="000B1FF7"/>
    <w:rsid w:val="000B2CA1"/>
    <w:rsid w:val="000D1F29"/>
    <w:rsid w:val="000F2958"/>
    <w:rsid w:val="00104E7F"/>
    <w:rsid w:val="001137EC"/>
    <w:rsid w:val="001152F5"/>
    <w:rsid w:val="00116AE5"/>
    <w:rsid w:val="00117743"/>
    <w:rsid w:val="00117F5B"/>
    <w:rsid w:val="00132658"/>
    <w:rsid w:val="00146295"/>
    <w:rsid w:val="00150DC0"/>
    <w:rsid w:val="00156CD4"/>
    <w:rsid w:val="00164A3E"/>
    <w:rsid w:val="001723FC"/>
    <w:rsid w:val="00181620"/>
    <w:rsid w:val="00182592"/>
    <w:rsid w:val="001957AD"/>
    <w:rsid w:val="001A2B7F"/>
    <w:rsid w:val="001A3AFD"/>
    <w:rsid w:val="001A496C"/>
    <w:rsid w:val="001B037B"/>
    <w:rsid w:val="001B14C3"/>
    <w:rsid w:val="001B2B6C"/>
    <w:rsid w:val="001D01C4"/>
    <w:rsid w:val="001D2CB0"/>
    <w:rsid w:val="001D52B0"/>
    <w:rsid w:val="001D7CA4"/>
    <w:rsid w:val="001E057F"/>
    <w:rsid w:val="001E1234"/>
    <w:rsid w:val="001E14EB"/>
    <w:rsid w:val="001F59E6"/>
    <w:rsid w:val="00206936"/>
    <w:rsid w:val="00206C6F"/>
    <w:rsid w:val="00206FBD"/>
    <w:rsid w:val="00207746"/>
    <w:rsid w:val="00217474"/>
    <w:rsid w:val="00230031"/>
    <w:rsid w:val="0023635A"/>
    <w:rsid w:val="00247343"/>
    <w:rsid w:val="00257C5B"/>
    <w:rsid w:val="00265C56"/>
    <w:rsid w:val="002716CD"/>
    <w:rsid w:val="00274D4B"/>
    <w:rsid w:val="002806F5"/>
    <w:rsid w:val="00281577"/>
    <w:rsid w:val="002926BC"/>
    <w:rsid w:val="00293A72"/>
    <w:rsid w:val="00295CFA"/>
    <w:rsid w:val="002A30C3"/>
    <w:rsid w:val="002A7712"/>
    <w:rsid w:val="002B38F7"/>
    <w:rsid w:val="002B5591"/>
    <w:rsid w:val="002B7CBC"/>
    <w:rsid w:val="002C1FE9"/>
    <w:rsid w:val="002D3A57"/>
    <w:rsid w:val="002D7D05"/>
    <w:rsid w:val="002E20C8"/>
    <w:rsid w:val="002E4290"/>
    <w:rsid w:val="002E66A6"/>
    <w:rsid w:val="002F0DB1"/>
    <w:rsid w:val="002F2885"/>
    <w:rsid w:val="003037F9"/>
    <w:rsid w:val="0030583E"/>
    <w:rsid w:val="00307FE1"/>
    <w:rsid w:val="003258E6"/>
    <w:rsid w:val="00342035"/>
    <w:rsid w:val="00342283"/>
    <w:rsid w:val="00343A87"/>
    <w:rsid w:val="00347FB6"/>
    <w:rsid w:val="003504FD"/>
    <w:rsid w:val="00350881"/>
    <w:rsid w:val="00357D55"/>
    <w:rsid w:val="00363513"/>
    <w:rsid w:val="003657E5"/>
    <w:rsid w:val="0036589C"/>
    <w:rsid w:val="003712A5"/>
    <w:rsid w:val="00371312"/>
    <w:rsid w:val="00371DC7"/>
    <w:rsid w:val="00377B21"/>
    <w:rsid w:val="00394876"/>
    <w:rsid w:val="00394AAF"/>
    <w:rsid w:val="00394CE5"/>
    <w:rsid w:val="003A083B"/>
    <w:rsid w:val="003A2BEB"/>
    <w:rsid w:val="003B67FD"/>
    <w:rsid w:val="003B6A61"/>
    <w:rsid w:val="003D42C0"/>
    <w:rsid w:val="003D5B29"/>
    <w:rsid w:val="003D7818"/>
    <w:rsid w:val="003E2445"/>
    <w:rsid w:val="003E36BC"/>
    <w:rsid w:val="003E3BB2"/>
    <w:rsid w:val="003F5B58"/>
    <w:rsid w:val="0040222A"/>
    <w:rsid w:val="004047BC"/>
    <w:rsid w:val="00406349"/>
    <w:rsid w:val="004100F7"/>
    <w:rsid w:val="00414CB3"/>
    <w:rsid w:val="0041563D"/>
    <w:rsid w:val="00426E25"/>
    <w:rsid w:val="00427D9C"/>
    <w:rsid w:val="00443B6E"/>
    <w:rsid w:val="00444CC5"/>
    <w:rsid w:val="00451AD0"/>
    <w:rsid w:val="0045420A"/>
    <w:rsid w:val="004554D4"/>
    <w:rsid w:val="00461744"/>
    <w:rsid w:val="00462547"/>
    <w:rsid w:val="00466D96"/>
    <w:rsid w:val="00467747"/>
    <w:rsid w:val="00473C98"/>
    <w:rsid w:val="00482DF8"/>
    <w:rsid w:val="004864DE"/>
    <w:rsid w:val="00494BE5"/>
    <w:rsid w:val="004A2538"/>
    <w:rsid w:val="004B0C15"/>
    <w:rsid w:val="004B35EA"/>
    <w:rsid w:val="004B69E4"/>
    <w:rsid w:val="004C6C39"/>
    <w:rsid w:val="004D075F"/>
    <w:rsid w:val="004D1B76"/>
    <w:rsid w:val="004D344E"/>
    <w:rsid w:val="004E019E"/>
    <w:rsid w:val="004E06EC"/>
    <w:rsid w:val="004E2CB7"/>
    <w:rsid w:val="004F016A"/>
    <w:rsid w:val="00500F94"/>
    <w:rsid w:val="005021F3"/>
    <w:rsid w:val="00502FB3"/>
    <w:rsid w:val="00503DE9"/>
    <w:rsid w:val="0050530C"/>
    <w:rsid w:val="00505DEA"/>
    <w:rsid w:val="00507782"/>
    <w:rsid w:val="00512A04"/>
    <w:rsid w:val="00516D07"/>
    <w:rsid w:val="005249F5"/>
    <w:rsid w:val="005260F7"/>
    <w:rsid w:val="005268CD"/>
    <w:rsid w:val="005341F2"/>
    <w:rsid w:val="00543BD1"/>
    <w:rsid w:val="00556113"/>
    <w:rsid w:val="00556567"/>
    <w:rsid w:val="0056024D"/>
    <w:rsid w:val="00560E0F"/>
    <w:rsid w:val="00564C12"/>
    <w:rsid w:val="005654B8"/>
    <w:rsid w:val="005762CC"/>
    <w:rsid w:val="00576A40"/>
    <w:rsid w:val="00582D3D"/>
    <w:rsid w:val="00595386"/>
    <w:rsid w:val="005A4AC0"/>
    <w:rsid w:val="005A5FDF"/>
    <w:rsid w:val="005B0FB7"/>
    <w:rsid w:val="005B122A"/>
    <w:rsid w:val="005B4731"/>
    <w:rsid w:val="005B5AC2"/>
    <w:rsid w:val="005B640B"/>
    <w:rsid w:val="005C2833"/>
    <w:rsid w:val="005C33D2"/>
    <w:rsid w:val="005E144D"/>
    <w:rsid w:val="005E1500"/>
    <w:rsid w:val="005E3A43"/>
    <w:rsid w:val="00620675"/>
    <w:rsid w:val="00620BD3"/>
    <w:rsid w:val="00637275"/>
    <w:rsid w:val="006433C3"/>
    <w:rsid w:val="00650F5B"/>
    <w:rsid w:val="00651F2B"/>
    <w:rsid w:val="006670D7"/>
    <w:rsid w:val="00670237"/>
    <w:rsid w:val="006719EA"/>
    <w:rsid w:val="00671F13"/>
    <w:rsid w:val="00672ECC"/>
    <w:rsid w:val="0067400A"/>
    <w:rsid w:val="006847AD"/>
    <w:rsid w:val="00687C00"/>
    <w:rsid w:val="0069114B"/>
    <w:rsid w:val="006B1456"/>
    <w:rsid w:val="006B5FB1"/>
    <w:rsid w:val="006C525E"/>
    <w:rsid w:val="006D66F7"/>
    <w:rsid w:val="006F79AE"/>
    <w:rsid w:val="00705C9D"/>
    <w:rsid w:val="00705F13"/>
    <w:rsid w:val="00711022"/>
    <w:rsid w:val="00714F1D"/>
    <w:rsid w:val="00721160"/>
    <w:rsid w:val="00722DDB"/>
    <w:rsid w:val="00724728"/>
    <w:rsid w:val="00724F98"/>
    <w:rsid w:val="00730B9B"/>
    <w:rsid w:val="007332FF"/>
    <w:rsid w:val="007408F5"/>
    <w:rsid w:val="00741EAE"/>
    <w:rsid w:val="0076190B"/>
    <w:rsid w:val="0076355D"/>
    <w:rsid w:val="00763A2D"/>
    <w:rsid w:val="00771752"/>
    <w:rsid w:val="007746FE"/>
    <w:rsid w:val="00777795"/>
    <w:rsid w:val="00783A57"/>
    <w:rsid w:val="00784C92"/>
    <w:rsid w:val="007859CD"/>
    <w:rsid w:val="007907E4"/>
    <w:rsid w:val="00796461"/>
    <w:rsid w:val="007A6A4F"/>
    <w:rsid w:val="007B0049"/>
    <w:rsid w:val="007B03F5"/>
    <w:rsid w:val="007B5C09"/>
    <w:rsid w:val="007B5DA2"/>
    <w:rsid w:val="007B7443"/>
    <w:rsid w:val="007C0966"/>
    <w:rsid w:val="007C19E7"/>
    <w:rsid w:val="007C3506"/>
    <w:rsid w:val="007C5CFD"/>
    <w:rsid w:val="007C6D9F"/>
    <w:rsid w:val="007D4893"/>
    <w:rsid w:val="007E70CF"/>
    <w:rsid w:val="007E74A4"/>
    <w:rsid w:val="007F263F"/>
    <w:rsid w:val="0080766E"/>
    <w:rsid w:val="00811169"/>
    <w:rsid w:val="00815297"/>
    <w:rsid w:val="00817BA1"/>
    <w:rsid w:val="00817EA9"/>
    <w:rsid w:val="00823022"/>
    <w:rsid w:val="0082634E"/>
    <w:rsid w:val="008313C4"/>
    <w:rsid w:val="00835434"/>
    <w:rsid w:val="008358C0"/>
    <w:rsid w:val="00842838"/>
    <w:rsid w:val="00854EC1"/>
    <w:rsid w:val="0085797F"/>
    <w:rsid w:val="00861DC3"/>
    <w:rsid w:val="008646B2"/>
    <w:rsid w:val="00867019"/>
    <w:rsid w:val="008735A9"/>
    <w:rsid w:val="00877D20"/>
    <w:rsid w:val="00881C48"/>
    <w:rsid w:val="00885B80"/>
    <w:rsid w:val="00885C30"/>
    <w:rsid w:val="00885E9B"/>
    <w:rsid w:val="00893C96"/>
    <w:rsid w:val="008A7C12"/>
    <w:rsid w:val="008B529E"/>
    <w:rsid w:val="008C17FB"/>
    <w:rsid w:val="008D46C7"/>
    <w:rsid w:val="008D57B8"/>
    <w:rsid w:val="008E03FC"/>
    <w:rsid w:val="008E510B"/>
    <w:rsid w:val="00902B13"/>
    <w:rsid w:val="00911941"/>
    <w:rsid w:val="00925890"/>
    <w:rsid w:val="00925F0F"/>
    <w:rsid w:val="009266D0"/>
    <w:rsid w:val="00932F6B"/>
    <w:rsid w:val="009468BC"/>
    <w:rsid w:val="009616DF"/>
    <w:rsid w:val="0096542F"/>
    <w:rsid w:val="00967FA7"/>
    <w:rsid w:val="00971645"/>
    <w:rsid w:val="00977919"/>
    <w:rsid w:val="009870FA"/>
    <w:rsid w:val="0099551D"/>
    <w:rsid w:val="009A5897"/>
    <w:rsid w:val="009A5F24"/>
    <w:rsid w:val="009A7DF7"/>
    <w:rsid w:val="009B0B3E"/>
    <w:rsid w:val="009B1913"/>
    <w:rsid w:val="009B6657"/>
    <w:rsid w:val="009D0EB5"/>
    <w:rsid w:val="009D14F9"/>
    <w:rsid w:val="009D2B74"/>
    <w:rsid w:val="009E175D"/>
    <w:rsid w:val="009E3CC2"/>
    <w:rsid w:val="009E4B3D"/>
    <w:rsid w:val="009F06BD"/>
    <w:rsid w:val="009F2A4D"/>
    <w:rsid w:val="009F76E7"/>
    <w:rsid w:val="00A00828"/>
    <w:rsid w:val="00A03290"/>
    <w:rsid w:val="00A07490"/>
    <w:rsid w:val="00A10655"/>
    <w:rsid w:val="00A22C38"/>
    <w:rsid w:val="00A25193"/>
    <w:rsid w:val="00A31AE8"/>
    <w:rsid w:val="00A31DB8"/>
    <w:rsid w:val="00A3739D"/>
    <w:rsid w:val="00A37DDA"/>
    <w:rsid w:val="00A4330F"/>
    <w:rsid w:val="00A925EC"/>
    <w:rsid w:val="00A929AA"/>
    <w:rsid w:val="00A92B6B"/>
    <w:rsid w:val="00AA439E"/>
    <w:rsid w:val="00AA541E"/>
    <w:rsid w:val="00AB48CE"/>
    <w:rsid w:val="00AD0DA4"/>
    <w:rsid w:val="00AD4169"/>
    <w:rsid w:val="00AE25C6"/>
    <w:rsid w:val="00AE306C"/>
    <w:rsid w:val="00B02EF1"/>
    <w:rsid w:val="00B07C97"/>
    <w:rsid w:val="00B15754"/>
    <w:rsid w:val="00B2046E"/>
    <w:rsid w:val="00B20E8B"/>
    <w:rsid w:val="00B257E1"/>
    <w:rsid w:val="00B30A1E"/>
    <w:rsid w:val="00B343CC"/>
    <w:rsid w:val="00B451C2"/>
    <w:rsid w:val="00B5084A"/>
    <w:rsid w:val="00B57296"/>
    <w:rsid w:val="00B614F7"/>
    <w:rsid w:val="00B61B26"/>
    <w:rsid w:val="00B675B2"/>
    <w:rsid w:val="00B730E1"/>
    <w:rsid w:val="00B756F4"/>
    <w:rsid w:val="00B81261"/>
    <w:rsid w:val="00B8223E"/>
    <w:rsid w:val="00B832AE"/>
    <w:rsid w:val="00B86678"/>
    <w:rsid w:val="00B92F9B"/>
    <w:rsid w:val="00B941B3"/>
    <w:rsid w:val="00B96513"/>
    <w:rsid w:val="00BA1D47"/>
    <w:rsid w:val="00BA66F0"/>
    <w:rsid w:val="00BB2239"/>
    <w:rsid w:val="00BB2AE7"/>
    <w:rsid w:val="00BB6464"/>
    <w:rsid w:val="00BC1BB8"/>
    <w:rsid w:val="00BD4F9F"/>
    <w:rsid w:val="00BD7FE1"/>
    <w:rsid w:val="00BE37CA"/>
    <w:rsid w:val="00BE6144"/>
    <w:rsid w:val="00BE635A"/>
    <w:rsid w:val="00BF2ABB"/>
    <w:rsid w:val="00BF5099"/>
    <w:rsid w:val="00C10F10"/>
    <w:rsid w:val="00C15D4D"/>
    <w:rsid w:val="00C175DC"/>
    <w:rsid w:val="00C30171"/>
    <w:rsid w:val="00C309D8"/>
    <w:rsid w:val="00C33619"/>
    <w:rsid w:val="00C570FF"/>
    <w:rsid w:val="00C606FD"/>
    <w:rsid w:val="00C61AFA"/>
    <w:rsid w:val="00C62099"/>
    <w:rsid w:val="00C64EA3"/>
    <w:rsid w:val="00C72867"/>
    <w:rsid w:val="00C75E81"/>
    <w:rsid w:val="00C86609"/>
    <w:rsid w:val="00C871E6"/>
    <w:rsid w:val="00C92B4C"/>
    <w:rsid w:val="00C92C9C"/>
    <w:rsid w:val="00C954F6"/>
    <w:rsid w:val="00CA07F1"/>
    <w:rsid w:val="00CA254B"/>
    <w:rsid w:val="00CA6BC5"/>
    <w:rsid w:val="00CB608B"/>
    <w:rsid w:val="00CC61CD"/>
    <w:rsid w:val="00CD5011"/>
    <w:rsid w:val="00CE640F"/>
    <w:rsid w:val="00CF540E"/>
    <w:rsid w:val="00D02835"/>
    <w:rsid w:val="00D02F07"/>
    <w:rsid w:val="00D36A49"/>
    <w:rsid w:val="00D37702"/>
    <w:rsid w:val="00D4156A"/>
    <w:rsid w:val="00D517C6"/>
    <w:rsid w:val="00D71D84"/>
    <w:rsid w:val="00D72464"/>
    <w:rsid w:val="00D768EB"/>
    <w:rsid w:val="00D82D1E"/>
    <w:rsid w:val="00D832D9"/>
    <w:rsid w:val="00D90F00"/>
    <w:rsid w:val="00D975C0"/>
    <w:rsid w:val="00DA5285"/>
    <w:rsid w:val="00DB191D"/>
    <w:rsid w:val="00DB4F91"/>
    <w:rsid w:val="00DC3117"/>
    <w:rsid w:val="00DC5DD9"/>
    <w:rsid w:val="00DC6D2D"/>
    <w:rsid w:val="00DE17E6"/>
    <w:rsid w:val="00DE33B5"/>
    <w:rsid w:val="00DE5E18"/>
    <w:rsid w:val="00DF0487"/>
    <w:rsid w:val="00DF5EA4"/>
    <w:rsid w:val="00E004F6"/>
    <w:rsid w:val="00E02681"/>
    <w:rsid w:val="00E02792"/>
    <w:rsid w:val="00E034D8"/>
    <w:rsid w:val="00E04CC0"/>
    <w:rsid w:val="00E1520B"/>
    <w:rsid w:val="00E15816"/>
    <w:rsid w:val="00E160D5"/>
    <w:rsid w:val="00E2617D"/>
    <w:rsid w:val="00E30556"/>
    <w:rsid w:val="00E30981"/>
    <w:rsid w:val="00E33136"/>
    <w:rsid w:val="00E34D7C"/>
    <w:rsid w:val="00E3723D"/>
    <w:rsid w:val="00E44C89"/>
    <w:rsid w:val="00E61BA2"/>
    <w:rsid w:val="00E63B51"/>
    <w:rsid w:val="00E6403F"/>
    <w:rsid w:val="00E6791F"/>
    <w:rsid w:val="00E71365"/>
    <w:rsid w:val="00E7417D"/>
    <w:rsid w:val="00E83A6B"/>
    <w:rsid w:val="00E84C5A"/>
    <w:rsid w:val="00E861DB"/>
    <w:rsid w:val="00E921A6"/>
    <w:rsid w:val="00E93406"/>
    <w:rsid w:val="00E956C5"/>
    <w:rsid w:val="00E95C39"/>
    <w:rsid w:val="00EA2C39"/>
    <w:rsid w:val="00EA6C3B"/>
    <w:rsid w:val="00EB0A96"/>
    <w:rsid w:val="00EB6446"/>
    <w:rsid w:val="00EB77F9"/>
    <w:rsid w:val="00EC5769"/>
    <w:rsid w:val="00EC7D00"/>
    <w:rsid w:val="00ED0304"/>
    <w:rsid w:val="00EE0834"/>
    <w:rsid w:val="00EE38FA"/>
    <w:rsid w:val="00EE3E2C"/>
    <w:rsid w:val="00EE5D23"/>
    <w:rsid w:val="00EF3CA4"/>
    <w:rsid w:val="00F014DA"/>
    <w:rsid w:val="00F41ED5"/>
    <w:rsid w:val="00F444B5"/>
    <w:rsid w:val="00F46CB8"/>
    <w:rsid w:val="00F60EFF"/>
    <w:rsid w:val="00F94398"/>
    <w:rsid w:val="00F9592E"/>
    <w:rsid w:val="00FA5082"/>
    <w:rsid w:val="00FB2B56"/>
    <w:rsid w:val="00FC12BF"/>
    <w:rsid w:val="00FC6603"/>
    <w:rsid w:val="00FD3E6F"/>
    <w:rsid w:val="00FD4249"/>
    <w:rsid w:val="00FD51B9"/>
    <w:rsid w:val="00FE2A39"/>
    <w:rsid w:val="00FF3D8B"/>
    <w:rsid w:val="00FF5BF4"/>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32248231"/>
  <w15:docId w15:val="{DFA3318A-E6D2-4954-9CD4-2B1856B38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CFA"/>
  </w:style>
  <w:style w:type="paragraph" w:styleId="Heading1">
    <w:name w:val="heading 1"/>
    <w:basedOn w:val="Normal"/>
    <w:next w:val="Normal"/>
    <w:link w:val="Heading1Char"/>
    <w:uiPriority w:val="1"/>
    <w:qFormat/>
    <w:rsid w:val="00080D74"/>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numPr>
        <w:ilvl w:val="1"/>
        <w:numId w:val="8"/>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8"/>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8"/>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8"/>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8"/>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8"/>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8"/>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8"/>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080D7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qFormat/>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EE0834"/>
    <w:pPr>
      <w:spacing w:after="120"/>
    </w:pPr>
  </w:style>
  <w:style w:type="table" w:styleId="TableGrid">
    <w:name w:val="Table Grid"/>
    <w:basedOn w:val="TableNormal"/>
    <w:uiPriority w:val="3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customStyle="1" w:styleId="NTGTable">
    <w:name w:val="NTG Table"/>
    <w:basedOn w:val="TableGrid"/>
    <w:uiPriority w:val="99"/>
    <w:rsid w:val="0099551D"/>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uiPriority w:val="99"/>
    <w:qFormat/>
    <w:rsid w:val="00080D74"/>
    <w:pPr>
      <w:numPr>
        <w:numId w:val="11"/>
      </w:numPr>
      <w:spacing w:after="120"/>
    </w:pPr>
    <w:rPr>
      <w:color w:val="CB6015"/>
      <w:sz w:val="28"/>
      <w:szCs w:val="28"/>
    </w:rPr>
  </w:style>
  <w:style w:type="paragraph" w:styleId="ListNumber2">
    <w:name w:val="List Number 2"/>
    <w:basedOn w:val="Normal"/>
    <w:uiPriority w:val="99"/>
    <w:rsid w:val="00080D74"/>
    <w:pPr>
      <w:numPr>
        <w:ilvl w:val="1"/>
        <w:numId w:val="11"/>
      </w:numPr>
      <w:spacing w:after="120"/>
      <w:ind w:left="357"/>
    </w:pPr>
    <w:rPr>
      <w:color w:val="CB6015"/>
      <w:sz w:val="24"/>
      <w:szCs w:val="24"/>
    </w:rPr>
  </w:style>
  <w:style w:type="paragraph" w:styleId="ListNumber3">
    <w:name w:val="List Number 3"/>
    <w:basedOn w:val="Normal"/>
    <w:uiPriority w:val="99"/>
    <w:rsid w:val="00A22C38"/>
    <w:pPr>
      <w:numPr>
        <w:ilvl w:val="2"/>
        <w:numId w:val="11"/>
      </w:numPr>
      <w:spacing w:after="120"/>
    </w:pPr>
  </w:style>
  <w:style w:type="paragraph" w:styleId="ListNumber4">
    <w:name w:val="List Number 4"/>
    <w:basedOn w:val="Normal"/>
    <w:uiPriority w:val="99"/>
    <w:rsid w:val="00A22C38"/>
    <w:pPr>
      <w:numPr>
        <w:ilvl w:val="3"/>
        <w:numId w:val="11"/>
      </w:numPr>
      <w:spacing w:after="120"/>
    </w:pPr>
  </w:style>
  <w:style w:type="paragraph" w:styleId="ListNumber5">
    <w:name w:val="List Number 5"/>
    <w:basedOn w:val="Normal"/>
    <w:uiPriority w:val="99"/>
    <w:rsid w:val="00A22C38"/>
    <w:pPr>
      <w:numPr>
        <w:ilvl w:val="4"/>
        <w:numId w:val="11"/>
      </w:numPr>
      <w:spacing w:after="120"/>
    </w:pPr>
  </w:style>
  <w:style w:type="paragraph" w:styleId="ListBullet">
    <w:name w:val="List Bullet"/>
    <w:basedOn w:val="Normal"/>
    <w:uiPriority w:val="99"/>
    <w:rsid w:val="003B6A61"/>
    <w:pPr>
      <w:numPr>
        <w:numId w:val="13"/>
      </w:numPr>
      <w:spacing w:after="120"/>
    </w:pPr>
  </w:style>
  <w:style w:type="paragraph" w:styleId="ListBullet2">
    <w:name w:val="List Bullet 2"/>
    <w:basedOn w:val="Normal"/>
    <w:uiPriority w:val="99"/>
    <w:rsid w:val="006847AD"/>
    <w:pPr>
      <w:numPr>
        <w:ilvl w:val="1"/>
        <w:numId w:val="13"/>
      </w:numPr>
      <w:spacing w:after="120"/>
    </w:pPr>
  </w:style>
  <w:style w:type="paragraph" w:styleId="ListBullet3">
    <w:name w:val="List Bullet 3"/>
    <w:basedOn w:val="Normal"/>
    <w:uiPriority w:val="99"/>
    <w:rsid w:val="006847AD"/>
    <w:pPr>
      <w:numPr>
        <w:ilvl w:val="2"/>
        <w:numId w:val="13"/>
      </w:numPr>
      <w:spacing w:after="120"/>
    </w:pPr>
  </w:style>
  <w:style w:type="paragraph" w:styleId="ListBullet4">
    <w:name w:val="List Bullet 4"/>
    <w:basedOn w:val="Normal"/>
    <w:uiPriority w:val="99"/>
    <w:rsid w:val="006847AD"/>
    <w:pPr>
      <w:numPr>
        <w:ilvl w:val="3"/>
        <w:numId w:val="13"/>
      </w:numPr>
      <w:spacing w:after="120"/>
    </w:pPr>
  </w:style>
  <w:style w:type="paragraph" w:styleId="ListBullet5">
    <w:name w:val="List Bullet 5"/>
    <w:basedOn w:val="Normal"/>
    <w:uiPriority w:val="99"/>
    <w:rsid w:val="004E2CB7"/>
    <w:pPr>
      <w:numPr>
        <w:ilvl w:val="4"/>
        <w:numId w:val="13"/>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14"/>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9"/>
      </w:numPr>
    </w:pPr>
  </w:style>
  <w:style w:type="paragraph" w:customStyle="1" w:styleId="NTGTableNumList1">
    <w:name w:val="NTG Table Num List 1"/>
    <w:semiHidden/>
    <w:qFormat/>
    <w:rsid w:val="002716CD"/>
    <w:pPr>
      <w:numPr>
        <w:numId w:val="12"/>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10"/>
      </w:numPr>
    </w:pPr>
  </w:style>
  <w:style w:type="paragraph" w:customStyle="1" w:styleId="NTGTabletext">
    <w:name w:val="NTG Table text"/>
    <w:basedOn w:val="Normal"/>
    <w:qFormat/>
    <w:rsid w:val="00080D74"/>
    <w:pPr>
      <w:spacing w:after="0"/>
    </w:pPr>
    <w:rPr>
      <w:lang w:val="en-US"/>
    </w:rPr>
  </w:style>
  <w:style w:type="paragraph" w:customStyle="1" w:styleId="NTGTabletextcentred">
    <w:name w:val="NTG Table text centred"/>
    <w:basedOn w:val="NTGTabletext"/>
    <w:qFormat/>
    <w:rsid w:val="006F79AE"/>
    <w:pPr>
      <w:jc w:val="center"/>
    </w:pPr>
    <w:rPr>
      <w:rFonts w:ascii="Arial MT Std Light" w:hAnsi="Arial MT Std Light" w:cs="Arial MT Std Light"/>
      <w:color w:val="000000"/>
    </w:rPr>
  </w:style>
  <w:style w:type="paragraph" w:customStyle="1" w:styleId="NTGTablenumbers">
    <w:name w:val="NTG Table numbers"/>
    <w:basedOn w:val="NTGTabletext"/>
    <w:qFormat/>
    <w:rsid w:val="006F79AE"/>
    <w:pPr>
      <w:jc w:val="right"/>
    </w:pPr>
  </w:style>
  <w:style w:type="character" w:styleId="Strong">
    <w:name w:val="Strong"/>
    <w:basedOn w:val="DefaultParagraphFont"/>
    <w:uiPriority w:val="22"/>
    <w:qFormat/>
    <w:rsid w:val="00080D74"/>
    <w:rPr>
      <w:b/>
      <w:bCs/>
    </w:rPr>
  </w:style>
  <w:style w:type="character" w:customStyle="1" w:styleId="NTGColouredtext">
    <w:name w:val="NTG Coloured text"/>
    <w:uiPriority w:val="1"/>
    <w:qFormat/>
    <w:rsid w:val="00080D74"/>
    <w:rPr>
      <w:color w:val="CB6015"/>
    </w:rPr>
  </w:style>
  <w:style w:type="character" w:styleId="SubtleEmphasis">
    <w:name w:val="Subtle Emphasis"/>
    <w:basedOn w:val="DefaultParagraphFont"/>
    <w:uiPriority w:val="19"/>
    <w:semiHidden/>
    <w:rsid w:val="00080D74"/>
    <w:rPr>
      <w:i/>
      <w:iCs/>
      <w:color w:val="404040" w:themeColor="text1" w:themeTint="BF"/>
    </w:rPr>
  </w:style>
  <w:style w:type="paragraph" w:customStyle="1" w:styleId="TAFRNoteHeading3">
    <w:name w:val="TAFR Note Heading 3"/>
    <w:basedOn w:val="Normal"/>
    <w:uiPriority w:val="99"/>
    <w:rsid w:val="007B7443"/>
    <w:pPr>
      <w:widowControl w:val="0"/>
      <w:suppressAutoHyphens/>
      <w:autoSpaceDE w:val="0"/>
      <w:autoSpaceDN w:val="0"/>
      <w:adjustRightInd w:val="0"/>
      <w:spacing w:before="57" w:after="0" w:line="288" w:lineRule="auto"/>
      <w:ind w:left="1134"/>
      <w:textAlignment w:val="center"/>
    </w:pPr>
    <w:rPr>
      <w:rFonts w:ascii="Arial MT Std Light Cond" w:eastAsiaTheme="minorEastAsia" w:hAnsi="Arial MT Std Light Cond" w:cs="Arial MT Std Light Cond"/>
      <w:color w:val="D3752E"/>
      <w:sz w:val="24"/>
      <w:szCs w:val="24"/>
      <w:lang w:val="en-GB" w:eastAsia="en-AU"/>
    </w:rPr>
  </w:style>
  <w:style w:type="paragraph" w:customStyle="1" w:styleId="TAFRBodyText">
    <w:name w:val="TAFR Body Text"/>
    <w:basedOn w:val="Normal"/>
    <w:uiPriority w:val="99"/>
    <w:rsid w:val="007B7443"/>
    <w:pPr>
      <w:widowControl w:val="0"/>
      <w:suppressAutoHyphens/>
      <w:autoSpaceDE w:val="0"/>
      <w:autoSpaceDN w:val="0"/>
      <w:adjustRightInd w:val="0"/>
      <w:spacing w:after="113" w:line="300" w:lineRule="atLeast"/>
      <w:ind w:left="1134"/>
      <w:textAlignment w:val="center"/>
    </w:pPr>
    <w:rPr>
      <w:rFonts w:ascii="Arial MT Std Light" w:eastAsia="Times New Roman" w:hAnsi="Arial MT Std Light" w:cs="Arial MT Std Light"/>
      <w:color w:val="000000"/>
      <w:w w:val="90"/>
      <w:lang w:val="en-GB" w:eastAsia="en-AU"/>
    </w:rPr>
  </w:style>
  <w:style w:type="character" w:styleId="CommentReference">
    <w:name w:val="annotation reference"/>
    <w:basedOn w:val="DefaultParagraphFont"/>
    <w:uiPriority w:val="99"/>
    <w:semiHidden/>
    <w:unhideWhenUsed/>
    <w:rsid w:val="00444CC5"/>
    <w:rPr>
      <w:sz w:val="16"/>
      <w:szCs w:val="16"/>
    </w:rPr>
  </w:style>
  <w:style w:type="paragraph" w:styleId="CommentText">
    <w:name w:val="annotation text"/>
    <w:basedOn w:val="Normal"/>
    <w:link w:val="CommentTextChar"/>
    <w:uiPriority w:val="99"/>
    <w:semiHidden/>
    <w:unhideWhenUsed/>
    <w:rsid w:val="00444CC5"/>
    <w:rPr>
      <w:sz w:val="20"/>
      <w:szCs w:val="20"/>
    </w:rPr>
  </w:style>
  <w:style w:type="character" w:customStyle="1" w:styleId="CommentTextChar">
    <w:name w:val="Comment Text Char"/>
    <w:basedOn w:val="DefaultParagraphFont"/>
    <w:link w:val="CommentText"/>
    <w:uiPriority w:val="99"/>
    <w:semiHidden/>
    <w:rsid w:val="00444CC5"/>
    <w:rPr>
      <w:sz w:val="20"/>
      <w:szCs w:val="20"/>
    </w:rPr>
  </w:style>
  <w:style w:type="paragraph" w:styleId="CommentSubject">
    <w:name w:val="annotation subject"/>
    <w:basedOn w:val="CommentText"/>
    <w:next w:val="CommentText"/>
    <w:link w:val="CommentSubjectChar"/>
    <w:uiPriority w:val="99"/>
    <w:semiHidden/>
    <w:unhideWhenUsed/>
    <w:rsid w:val="00444CC5"/>
    <w:rPr>
      <w:b/>
      <w:bCs/>
    </w:rPr>
  </w:style>
  <w:style w:type="character" w:customStyle="1" w:styleId="CommentSubjectChar">
    <w:name w:val="Comment Subject Char"/>
    <w:basedOn w:val="CommentTextChar"/>
    <w:link w:val="CommentSubject"/>
    <w:uiPriority w:val="99"/>
    <w:semiHidden/>
    <w:rsid w:val="00444CC5"/>
    <w:rPr>
      <w:b/>
      <w:bCs/>
      <w:sz w:val="20"/>
      <w:szCs w:val="20"/>
    </w:rPr>
  </w:style>
  <w:style w:type="paragraph" w:styleId="BalloonText">
    <w:name w:val="Balloon Text"/>
    <w:basedOn w:val="Normal"/>
    <w:link w:val="BalloonTextChar"/>
    <w:uiPriority w:val="99"/>
    <w:semiHidden/>
    <w:unhideWhenUsed/>
    <w:rsid w:val="00444C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CC5"/>
    <w:rPr>
      <w:rFonts w:ascii="Segoe UI" w:hAnsi="Segoe UI" w:cs="Segoe UI"/>
      <w:sz w:val="18"/>
      <w:szCs w:val="18"/>
    </w:rPr>
  </w:style>
  <w:style w:type="paragraph" w:styleId="Revision">
    <w:name w:val="Revision"/>
    <w:hidden/>
    <w:uiPriority w:val="99"/>
    <w:semiHidden/>
    <w:rsid w:val="00FD4249"/>
    <w:pPr>
      <w:spacing w:after="0"/>
    </w:pPr>
  </w:style>
  <w:style w:type="paragraph" w:styleId="ListContinue2">
    <w:name w:val="List Continue 2"/>
    <w:basedOn w:val="Normal"/>
    <w:uiPriority w:val="99"/>
    <w:unhideWhenUsed/>
    <w:rsid w:val="00342035"/>
    <w:pPr>
      <w:spacing w:after="120"/>
      <w:ind w:left="566"/>
      <w:contextualSpacing/>
    </w:pPr>
  </w:style>
  <w:style w:type="paragraph" w:customStyle="1" w:styleId="Default">
    <w:name w:val="Default"/>
    <w:rsid w:val="00342035"/>
    <w:pPr>
      <w:autoSpaceDE w:val="0"/>
      <w:autoSpaceDN w:val="0"/>
      <w:adjustRightInd w:val="0"/>
      <w:spacing w:after="0"/>
    </w:pPr>
    <w:rPr>
      <w:rFonts w:eastAsiaTheme="minorHAnsi" w:cs="Arial"/>
      <w:color w:val="000000"/>
      <w:sz w:val="24"/>
      <w:szCs w:val="24"/>
    </w:rPr>
  </w:style>
  <w:style w:type="paragraph" w:customStyle="1" w:styleId="StyleBlackJustifiedLinespacingMultiple115li">
    <w:name w:val="Style Black Justified Line spacing:  Multiple 1.15 li"/>
    <w:basedOn w:val="Normal"/>
    <w:rsid w:val="00EE0834"/>
    <w:pPr>
      <w:spacing w:line="276" w:lineRule="auto"/>
    </w:pPr>
    <w:rPr>
      <w:rFonts w:eastAsia="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bara\AppData\Local\Temp\Temp1_blank-word-portrait-template_15%20(12).zip\blank-word-portrait-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512E2-2D23-45E8-A97F-896A3E85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blank-word-portrait-template</Template>
  <TotalTime>501</TotalTime>
  <Pages>7</Pages>
  <Words>2952</Words>
  <Characters>16830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AASB 124 Related Party Disclosures</vt:lpstr>
    </vt:vector>
  </TitlesOfParts>
  <Company>Northern Territory Government</Company>
  <LinksUpToDate>false</LinksUpToDate>
  <CharactersWithSpaces>19743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AASB 124 Related Party Disclosures</dc:title>
  <dc:creator>Barbara Beamsley</dc:creator>
  <cp:lastModifiedBy>Adwoa Tetteh</cp:lastModifiedBy>
  <cp:revision>90</cp:revision>
  <cp:lastPrinted>2016-02-04T04:37:00Z</cp:lastPrinted>
  <dcterms:created xsi:type="dcterms:W3CDTF">2017-06-23T01:18:00Z</dcterms:created>
  <dcterms:modified xsi:type="dcterms:W3CDTF">2017-08-04T02:41:00Z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Version 1</vt:lpwstr>
  </property>
  <property fmtid="{D5CDD505-2E9C-101B-9397-08002B2CF9AE}" pid="6" name="DocumentDate">
    <vt:lpwstr>3 August 2017</vt:lpwstr>
  </property>
</Properties>
</file>